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279E" w14:textId="77777777" w:rsidR="00AB45F3" w:rsidRPr="003F25B1" w:rsidRDefault="00AB45F3" w:rsidP="00AB45F3">
      <w:pPr>
        <w:spacing w:after="160" w:line="259" w:lineRule="auto"/>
        <w:rPr>
          <w:rFonts w:ascii="Arial" w:eastAsia="Calibri" w:hAnsi="Arial" w:cs="Arial"/>
        </w:rPr>
      </w:pPr>
    </w:p>
    <w:p w14:paraId="18D5BF57" w14:textId="6CB2E91F" w:rsidR="00F80883" w:rsidRPr="00801592" w:rsidRDefault="00715F7D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0" w:name="_Hlk93903045"/>
      <w:bookmarkStart w:id="1" w:name="_Hlk22447443"/>
      <w:r w:rsidRPr="003F25B1">
        <w:rPr>
          <w:rFonts w:ascii="Arial" w:hAnsi="Arial" w:cs="Arial"/>
        </w:rPr>
        <w:t>DMS-KA.731.2.</w:t>
      </w:r>
      <w:r w:rsidR="00680440">
        <w:rPr>
          <w:rFonts w:ascii="Arial" w:hAnsi="Arial" w:cs="Arial"/>
        </w:rPr>
        <w:t>4</w:t>
      </w:r>
      <w:r w:rsidR="00494348">
        <w:rPr>
          <w:rFonts w:ascii="Arial" w:hAnsi="Arial" w:cs="Arial"/>
        </w:rPr>
        <w:t>7</w:t>
      </w:r>
      <w:r w:rsidRPr="003F25B1">
        <w:rPr>
          <w:rFonts w:ascii="Arial" w:hAnsi="Arial" w:cs="Arial"/>
        </w:rPr>
        <w:t>.2022</w:t>
      </w:r>
      <w:bookmarkEnd w:id="0"/>
      <w:r w:rsidR="003C3233" w:rsidRPr="00801592">
        <w:rPr>
          <w:rFonts w:ascii="Arial" w:hAnsi="Arial" w:cs="Arial"/>
          <w:color w:val="000000" w:themeColor="text1"/>
        </w:rPr>
        <w:tab/>
      </w:r>
    </w:p>
    <w:p w14:paraId="7EEAFC27" w14:textId="00C3165E" w:rsidR="00524D41" w:rsidRDefault="008D0C19" w:rsidP="00524D41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p w14:paraId="573DC826" w14:textId="1C7F1681" w:rsidR="002F3C6E" w:rsidRPr="002F3C6E" w:rsidRDefault="002F3C6E" w:rsidP="00524D41">
      <w:pPr>
        <w:spacing w:after="0" w:line="259" w:lineRule="auto"/>
        <w:jc w:val="center"/>
        <w:rPr>
          <w:rFonts w:ascii="Arial" w:eastAsia="Calibri" w:hAnsi="Arial" w:cs="Arial"/>
          <w:b/>
          <w:u w:val="single"/>
        </w:rPr>
      </w:pPr>
      <w:r w:rsidRPr="002F3C6E">
        <w:rPr>
          <w:rFonts w:ascii="Arial" w:eastAsia="Calibri" w:hAnsi="Arial" w:cs="Arial"/>
          <w:b/>
          <w:u w:val="single"/>
        </w:rPr>
        <w:t>AKTUALIZACJA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2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2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62CE2C3D" w:rsidR="004F3794" w:rsidRPr="00843591" w:rsidRDefault="00494348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04-05</w:t>
            </w:r>
            <w:r w:rsidR="003C4BDD"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  <w:r w:rsidR="002F3C6E">
              <w:rPr>
                <w:rFonts w:ascii="Arial" w:eastAsia="Calibri" w:hAnsi="Arial" w:cs="Arial"/>
              </w:rPr>
              <w:t xml:space="preserve"> </w:t>
            </w:r>
            <w:r w:rsidR="002F3C6E" w:rsidRPr="002F3C6E">
              <w:rPr>
                <w:rFonts w:ascii="Arial" w:eastAsia="Calibri" w:hAnsi="Arial" w:cs="Arial"/>
                <w:b/>
                <w:bCs/>
                <w:u w:val="single"/>
              </w:rPr>
              <w:t>ODWOŁANIE RYZYKA NA DZIEŃ 05.12.2022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49D018CD" w:rsidR="004F3794" w:rsidRPr="00353179" w:rsidRDefault="003C4BDD" w:rsidP="00327385">
            <w:pPr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9.00 dnia </w:t>
            </w:r>
            <w:r w:rsidR="00494348">
              <w:rPr>
                <w:rFonts w:ascii="Arial" w:eastAsia="Calibri" w:hAnsi="Arial" w:cs="Arial"/>
              </w:rPr>
              <w:t>04</w:t>
            </w:r>
            <w:r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 w:rsidR="00494348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 xml:space="preserve"> r. do godz. 24.00 dnia </w:t>
            </w:r>
            <w:r w:rsidR="00494348" w:rsidRPr="00353179">
              <w:rPr>
                <w:rFonts w:ascii="Arial" w:eastAsia="Calibri" w:hAnsi="Arial" w:cs="Arial"/>
                <w:strike/>
              </w:rPr>
              <w:t>05</w:t>
            </w:r>
            <w:r w:rsidRPr="00353179">
              <w:rPr>
                <w:rFonts w:ascii="Arial" w:eastAsia="Calibri" w:hAnsi="Arial" w:cs="Arial"/>
                <w:strike/>
              </w:rPr>
              <w:t>.</w:t>
            </w:r>
            <w:r w:rsidR="00F95213" w:rsidRPr="00353179">
              <w:rPr>
                <w:rFonts w:ascii="Arial" w:eastAsia="Calibri" w:hAnsi="Arial" w:cs="Arial"/>
                <w:strike/>
              </w:rPr>
              <w:t>1</w:t>
            </w:r>
            <w:r w:rsidR="00494348" w:rsidRPr="00353179">
              <w:rPr>
                <w:rFonts w:ascii="Arial" w:eastAsia="Calibri" w:hAnsi="Arial" w:cs="Arial"/>
                <w:strike/>
              </w:rPr>
              <w:t>2</w:t>
            </w:r>
            <w:r w:rsidRPr="00353179">
              <w:rPr>
                <w:rFonts w:ascii="Arial" w:eastAsia="Calibri" w:hAnsi="Arial" w:cs="Arial"/>
                <w:strike/>
              </w:rPr>
              <w:t>.202</w:t>
            </w:r>
            <w:r w:rsidR="00FB16DB" w:rsidRPr="00353179">
              <w:rPr>
                <w:rFonts w:ascii="Arial" w:eastAsia="Calibri" w:hAnsi="Arial" w:cs="Arial"/>
                <w:strike/>
              </w:rPr>
              <w:t>2</w:t>
            </w:r>
            <w:r w:rsidRPr="00353179">
              <w:rPr>
                <w:rFonts w:ascii="Arial" w:eastAsia="Calibri" w:hAnsi="Arial" w:cs="Arial"/>
                <w:strike/>
              </w:rPr>
              <w:t xml:space="preserve"> r</w:t>
            </w:r>
            <w:r w:rsidRPr="00353179">
              <w:rPr>
                <w:rFonts w:ascii="Arial" w:eastAsia="Calibri" w:hAnsi="Arial" w:cs="Arial"/>
              </w:rPr>
              <w:t>.</w:t>
            </w:r>
            <w:r w:rsidR="00353179" w:rsidRPr="00353179">
              <w:rPr>
                <w:rFonts w:ascii="Arial" w:eastAsia="Calibri" w:hAnsi="Arial" w:cs="Arial"/>
              </w:rPr>
              <w:t xml:space="preserve"> </w:t>
            </w:r>
            <w:r w:rsidR="00353179" w:rsidRPr="00353179">
              <w:rPr>
                <w:rFonts w:ascii="Arial" w:eastAsia="Calibri" w:hAnsi="Arial" w:cs="Arial"/>
                <w:b/>
                <w:u w:val="single"/>
              </w:rPr>
              <w:t>04.12.2022 r.</w:t>
            </w:r>
          </w:p>
        </w:tc>
      </w:tr>
      <w:tr w:rsidR="004F3794" w:rsidRPr="00801592" w14:paraId="043FCF96" w14:textId="77777777" w:rsidTr="00110D51">
        <w:trPr>
          <w:trHeight w:val="1180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1EB2C59" w:rsidR="004F3794" w:rsidRPr="00843591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D306D1" w:rsidRPr="00843591">
              <w:rPr>
                <w:rFonts w:ascii="Arial" w:eastAsia="Calibri" w:hAnsi="Arial" w:cs="Arial"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6A1A5B2E" w:rsidR="00765202" w:rsidRPr="0011397A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 xml:space="preserve">Dzień </w:t>
            </w:r>
            <w:r w:rsidR="00594958" w:rsidRPr="0011397A">
              <w:rPr>
                <w:rFonts w:ascii="Arial" w:eastAsia="Calibri" w:hAnsi="Arial" w:cs="Arial"/>
                <w:b/>
                <w:bCs/>
              </w:rPr>
              <w:t>04</w:t>
            </w:r>
            <w:r w:rsidRPr="0011397A">
              <w:rPr>
                <w:rFonts w:ascii="Arial" w:eastAsia="Calibri" w:hAnsi="Arial" w:cs="Arial"/>
                <w:b/>
                <w:bCs/>
              </w:rPr>
              <w:t>.</w:t>
            </w:r>
            <w:r w:rsidR="00F95213" w:rsidRPr="0011397A">
              <w:rPr>
                <w:rFonts w:ascii="Arial" w:eastAsia="Calibri" w:hAnsi="Arial" w:cs="Arial"/>
                <w:b/>
                <w:bCs/>
              </w:rPr>
              <w:t>1</w:t>
            </w:r>
            <w:r w:rsidR="00594958" w:rsidRPr="0011397A">
              <w:rPr>
                <w:rFonts w:ascii="Arial" w:eastAsia="Calibri" w:hAnsi="Arial" w:cs="Arial"/>
                <w:b/>
                <w:bCs/>
              </w:rPr>
              <w:t>2</w:t>
            </w:r>
            <w:r w:rsidRPr="0011397A">
              <w:rPr>
                <w:rFonts w:ascii="Arial" w:eastAsia="Calibri" w:hAnsi="Arial" w:cs="Arial"/>
                <w:b/>
                <w:bCs/>
              </w:rPr>
              <w:t>.202</w:t>
            </w:r>
            <w:r w:rsidR="00165450" w:rsidRPr="0011397A">
              <w:rPr>
                <w:rFonts w:ascii="Arial" w:eastAsia="Calibri" w:hAnsi="Arial" w:cs="Arial"/>
                <w:b/>
                <w:bCs/>
              </w:rPr>
              <w:t xml:space="preserve">2 </w:t>
            </w:r>
            <w:r w:rsidRPr="0011397A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24399DF8" w14:textId="69BB85AB" w:rsidR="004F0B3D" w:rsidRPr="00801592" w:rsidRDefault="008E2BBF" w:rsidP="004F0B3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594958">
              <w:rPr>
                <w:rFonts w:ascii="Arial" w:eastAsia="Calibri" w:hAnsi="Arial" w:cs="Arial"/>
                <w:color w:val="000000" w:themeColor="text1"/>
              </w:rPr>
              <w:t>,</w:t>
            </w: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 xml:space="preserve">prognoz jakości powietrza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br/>
              <w:t xml:space="preserve">i </w:t>
            </w:r>
            <w:r w:rsidR="00594958"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="004F0B3D"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801592" w:rsidRDefault="00765202" w:rsidP="00765202">
            <w:pPr>
              <w:rPr>
                <w:rFonts w:ascii="Arial" w:eastAsia="Calibri" w:hAnsi="Arial" w:cs="Arial"/>
              </w:rPr>
            </w:pPr>
          </w:p>
          <w:p w14:paraId="4FA1277B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3C65778A" w14:textId="621C3D6F" w:rsidR="00166E2B" w:rsidRPr="00313FF3" w:rsidRDefault="00765202" w:rsidP="00166E2B">
            <w:pPr>
              <w:jc w:val="both"/>
              <w:rPr>
                <w:rFonts w:ascii="Arial" w:hAnsi="Arial" w:cs="Arial"/>
                <w:b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 w:rsidR="0045072D">
              <w:rPr>
                <w:rFonts w:ascii="Arial" w:eastAsia="Calibri" w:hAnsi="Arial" w:cs="Arial"/>
              </w:rPr>
              <w:t>04</w:t>
            </w:r>
            <w:r w:rsidRPr="00B82F54">
              <w:rPr>
                <w:rFonts w:ascii="Arial" w:eastAsia="Calibri" w:hAnsi="Arial" w:cs="Arial"/>
              </w:rPr>
              <w:t>.</w:t>
            </w:r>
            <w:r w:rsidR="00F95213">
              <w:rPr>
                <w:rFonts w:ascii="Arial" w:eastAsia="Calibri" w:hAnsi="Arial" w:cs="Arial"/>
              </w:rPr>
              <w:t>1</w:t>
            </w:r>
            <w:r w:rsidR="0045072D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165450" w:rsidRPr="00B82F54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 w:rsidR="009A6D60">
              <w:rPr>
                <w:rFonts w:ascii="Arial" w:eastAsia="Calibri" w:hAnsi="Arial" w:cs="Arial"/>
              </w:rPr>
              <w:t xml:space="preserve"> </w:t>
            </w:r>
            <w:r w:rsidR="00313FF3">
              <w:rPr>
                <w:rFonts w:ascii="Arial" w:eastAsia="Calibri" w:hAnsi="Arial" w:cs="Arial"/>
              </w:rPr>
              <w:t>powiat</w:t>
            </w:r>
            <w:r w:rsidR="0045072D">
              <w:rPr>
                <w:rFonts w:ascii="Arial" w:eastAsia="Calibri" w:hAnsi="Arial" w:cs="Arial"/>
              </w:rPr>
              <w:t>y:</w:t>
            </w:r>
            <w:r w:rsidR="00313FF3">
              <w:rPr>
                <w:rFonts w:ascii="Arial" w:eastAsia="Calibri" w:hAnsi="Arial" w:cs="Arial"/>
              </w:rPr>
              <w:t xml:space="preserve"> </w:t>
            </w:r>
            <w:r w:rsidR="00E835B8" w:rsidRPr="00E835B8">
              <w:rPr>
                <w:rFonts w:ascii="Arial" w:eastAsia="Calibri" w:hAnsi="Arial" w:cs="Arial"/>
              </w:rPr>
              <w:t>powiat cieszyński</w:t>
            </w:r>
            <w:r w:rsidR="00E835B8">
              <w:rPr>
                <w:rFonts w:ascii="Arial" w:eastAsia="Calibri" w:hAnsi="Arial" w:cs="Arial"/>
              </w:rPr>
              <w:t xml:space="preserve">, </w:t>
            </w:r>
            <w:r w:rsidR="00E835B8" w:rsidRPr="00E835B8">
              <w:rPr>
                <w:rFonts w:ascii="Arial" w:eastAsia="Calibri" w:hAnsi="Arial" w:cs="Arial"/>
              </w:rPr>
              <w:t>powiat raciborski</w:t>
            </w:r>
            <w:r w:rsidR="009A6D60">
              <w:rPr>
                <w:rFonts w:ascii="Arial" w:eastAsia="Calibri" w:hAnsi="Arial" w:cs="Arial"/>
              </w:rPr>
              <w:t>.</w:t>
            </w:r>
          </w:p>
          <w:p w14:paraId="3124DD00" w14:textId="77777777" w:rsidR="00765202" w:rsidRPr="00801592" w:rsidRDefault="00765202" w:rsidP="00765202">
            <w:pPr>
              <w:rPr>
                <w:rFonts w:ascii="Arial" w:hAnsi="Arial" w:cs="Arial"/>
                <w:color w:val="000000"/>
              </w:rPr>
            </w:pP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6AF2C391" w14:textId="17F3E95C" w:rsidR="00663D38" w:rsidRDefault="00765202" w:rsidP="00765202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E835B8">
              <w:rPr>
                <w:rFonts w:ascii="Arial" w:eastAsia="Calibri" w:hAnsi="Arial" w:cs="Arial"/>
              </w:rPr>
              <w:t>04</w:t>
            </w:r>
            <w:r w:rsidRPr="00801592">
              <w:rPr>
                <w:rFonts w:ascii="Arial" w:eastAsia="Calibri" w:hAnsi="Arial" w:cs="Arial"/>
              </w:rPr>
              <w:t>.</w:t>
            </w:r>
            <w:r w:rsidR="00F95213">
              <w:rPr>
                <w:rFonts w:ascii="Arial" w:eastAsia="Calibri" w:hAnsi="Arial" w:cs="Arial"/>
              </w:rPr>
              <w:t>1</w:t>
            </w:r>
            <w:r w:rsidR="00E835B8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>.202</w:t>
            </w:r>
            <w:r w:rsidR="00AC26B7" w:rsidRPr="00801592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 xml:space="preserve">istnieje ryzyko przekroczenia poziomu informowania dla pyłu PM10: </w:t>
            </w:r>
            <w:r w:rsidR="006B3F06" w:rsidRPr="006B3F06">
              <w:rPr>
                <w:rFonts w:ascii="Arial" w:eastAsia="Calibri" w:hAnsi="Arial" w:cs="Arial"/>
              </w:rPr>
              <w:t>284</w:t>
            </w:r>
            <w:r w:rsidR="00672C74">
              <w:rPr>
                <w:rFonts w:ascii="Arial" w:eastAsia="Calibri" w:hAnsi="Arial" w:cs="Arial"/>
              </w:rPr>
              <w:t> </w:t>
            </w:r>
            <w:r w:rsidR="006B3F06" w:rsidRPr="006B3F06">
              <w:rPr>
                <w:rFonts w:ascii="Arial" w:eastAsia="Calibri" w:hAnsi="Arial" w:cs="Arial"/>
              </w:rPr>
              <w:t>946</w:t>
            </w:r>
            <w:r w:rsidR="00672C74">
              <w:rPr>
                <w:rFonts w:ascii="Arial" w:eastAsia="Calibri" w:hAnsi="Arial" w:cs="Arial"/>
              </w:rPr>
              <w:t xml:space="preserve"> </w:t>
            </w:r>
            <w:r w:rsidR="00166E2B" w:rsidRPr="00801592">
              <w:rPr>
                <w:rFonts w:ascii="Arial" w:eastAsia="Calibri" w:hAnsi="Arial" w:cs="Arial"/>
              </w:rPr>
              <w:t>os</w:t>
            </w:r>
            <w:r w:rsidR="000701AF">
              <w:rPr>
                <w:rFonts w:ascii="Arial" w:eastAsia="Calibri" w:hAnsi="Arial" w:cs="Arial"/>
              </w:rPr>
              <w:t>ób</w:t>
            </w:r>
            <w:r w:rsidRPr="00801592">
              <w:rPr>
                <w:rFonts w:ascii="Arial" w:eastAsia="Calibri" w:hAnsi="Arial" w:cs="Arial"/>
              </w:rPr>
              <w:t>.</w:t>
            </w:r>
          </w:p>
          <w:p w14:paraId="55E2BC2D" w14:textId="19C8D4D5" w:rsidR="0045072D" w:rsidRDefault="0045072D" w:rsidP="00765202">
            <w:pPr>
              <w:jc w:val="both"/>
              <w:rPr>
                <w:rFonts w:ascii="Arial" w:eastAsia="Calibri" w:hAnsi="Arial" w:cs="Arial"/>
              </w:rPr>
            </w:pPr>
          </w:p>
          <w:p w14:paraId="4899ADDE" w14:textId="77777777" w:rsidR="0011397A" w:rsidRPr="00801592" w:rsidRDefault="0011397A" w:rsidP="00765202">
            <w:pPr>
              <w:jc w:val="both"/>
              <w:rPr>
                <w:rFonts w:ascii="Arial" w:eastAsia="Calibri" w:hAnsi="Arial" w:cs="Arial"/>
              </w:rPr>
            </w:pPr>
          </w:p>
          <w:p w14:paraId="70545332" w14:textId="24764F31" w:rsidR="00672C74" w:rsidRPr="0011397A" w:rsidRDefault="00672C74" w:rsidP="00672C74">
            <w:pPr>
              <w:rPr>
                <w:rFonts w:ascii="Arial" w:eastAsia="Calibri" w:hAnsi="Arial" w:cs="Arial"/>
                <w:b/>
                <w:bCs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>Dzień 05.12.2022 r.</w:t>
            </w:r>
            <w:r w:rsidR="002F3C6E">
              <w:rPr>
                <w:rFonts w:ascii="Arial" w:eastAsia="Calibri" w:hAnsi="Arial" w:cs="Arial"/>
                <w:b/>
                <w:bCs/>
              </w:rPr>
              <w:t xml:space="preserve"> – ODWOŁANIE RYZYKA DLA POWIATU CIESZYŃSKIEGO, RACIBORSKIEGO I ŻYWIECKIEGO (OGŁOSZENIE RYZYKA DLA POZIOMU ALARMOWEGO W OBSZARZE POWIATU ŻYWIECKIEGO</w:t>
            </w:r>
            <w:r w:rsidR="00353179">
              <w:rPr>
                <w:rFonts w:ascii="Arial" w:eastAsia="Calibri" w:hAnsi="Arial" w:cs="Arial"/>
                <w:b/>
                <w:bCs/>
              </w:rPr>
              <w:t xml:space="preserve"> – odrębnym powiadomieniem</w:t>
            </w:r>
            <w:r w:rsidR="002F3C6E">
              <w:rPr>
                <w:rFonts w:ascii="Arial" w:eastAsia="Calibri" w:hAnsi="Arial" w:cs="Arial"/>
                <w:b/>
                <w:bCs/>
              </w:rPr>
              <w:t>)</w:t>
            </w:r>
          </w:p>
          <w:p w14:paraId="6E089EB2" w14:textId="130E28EB" w:rsidR="00672C74" w:rsidRPr="00801592" w:rsidRDefault="00672C74" w:rsidP="00672C74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F06BF9">
              <w:rPr>
                <w:rFonts w:ascii="Arial" w:eastAsia="Calibri" w:hAnsi="Arial" w:cs="Arial"/>
                <w:color w:val="000000" w:themeColor="text1"/>
              </w:rPr>
              <w:t>prognoz jakości powietrza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i meteorologicznych, 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5BBD047B" w14:textId="77777777" w:rsidR="00672C74" w:rsidRPr="00801592" w:rsidRDefault="00672C74" w:rsidP="00672C74">
            <w:pPr>
              <w:rPr>
                <w:rFonts w:ascii="Arial" w:eastAsia="Calibri" w:hAnsi="Arial" w:cs="Arial"/>
              </w:rPr>
            </w:pPr>
          </w:p>
          <w:p w14:paraId="7D61B939" w14:textId="77777777" w:rsidR="00672C74" w:rsidRPr="00801592" w:rsidRDefault="00672C74" w:rsidP="00672C74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290BB80B" w14:textId="3E16AB3B" w:rsidR="00672C74" w:rsidRPr="00313FF3" w:rsidRDefault="00672C74" w:rsidP="00672C74">
            <w:pPr>
              <w:jc w:val="both"/>
              <w:rPr>
                <w:rFonts w:ascii="Arial" w:hAnsi="Arial" w:cs="Arial"/>
                <w:b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>
              <w:rPr>
                <w:rFonts w:ascii="Arial" w:eastAsia="Calibri" w:hAnsi="Arial" w:cs="Arial"/>
              </w:rPr>
              <w:t>05</w:t>
            </w:r>
            <w:r w:rsidRPr="00B82F54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12</w:t>
            </w:r>
            <w:r w:rsidRPr="00B82F54">
              <w:rPr>
                <w:rFonts w:ascii="Arial" w:eastAsia="Calibri" w:hAnsi="Arial" w:cs="Arial"/>
              </w:rPr>
              <w:t>.2022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>
              <w:rPr>
                <w:rFonts w:ascii="Arial" w:eastAsia="Calibri" w:hAnsi="Arial" w:cs="Arial"/>
              </w:rPr>
              <w:t xml:space="preserve"> powiaty: </w:t>
            </w:r>
            <w:r w:rsidRPr="00E835B8">
              <w:rPr>
                <w:rFonts w:ascii="Arial" w:eastAsia="Calibri" w:hAnsi="Arial" w:cs="Arial"/>
              </w:rPr>
              <w:t>powiat cieszyński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E835B8">
              <w:rPr>
                <w:rFonts w:ascii="Arial" w:eastAsia="Calibri" w:hAnsi="Arial" w:cs="Arial"/>
              </w:rPr>
              <w:t>powiat raciborski</w:t>
            </w:r>
            <w:r>
              <w:rPr>
                <w:rFonts w:ascii="Arial" w:eastAsia="Calibri" w:hAnsi="Arial" w:cs="Arial"/>
              </w:rPr>
              <w:t>, powiat żywiecki.</w:t>
            </w:r>
          </w:p>
          <w:p w14:paraId="41A04D0C" w14:textId="77777777" w:rsidR="00672C74" w:rsidRPr="00801592" w:rsidRDefault="00672C74" w:rsidP="00672C74">
            <w:pPr>
              <w:rPr>
                <w:rFonts w:ascii="Arial" w:hAnsi="Arial" w:cs="Arial"/>
                <w:color w:val="000000"/>
              </w:rPr>
            </w:pPr>
          </w:p>
          <w:p w14:paraId="3DB8910A" w14:textId="77777777" w:rsidR="00672C74" w:rsidRPr="00801592" w:rsidRDefault="00672C74" w:rsidP="00672C74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6CA0F1A4" w14:textId="4E819266" w:rsidR="00672C74" w:rsidRDefault="00672C74" w:rsidP="00672C74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>
              <w:rPr>
                <w:rFonts w:ascii="Arial" w:eastAsia="Calibri" w:hAnsi="Arial" w:cs="Arial"/>
              </w:rPr>
              <w:t>05</w:t>
            </w:r>
            <w:r w:rsidRPr="00801592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12</w:t>
            </w:r>
            <w:r w:rsidRPr="00801592">
              <w:rPr>
                <w:rFonts w:ascii="Arial" w:eastAsia="Calibri" w:hAnsi="Arial" w:cs="Arial"/>
              </w:rPr>
              <w:t>.2022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 xml:space="preserve">istnieje ryzyko przekroczenia poziomu informowania dla pyłu PM10: </w:t>
            </w:r>
            <w:r>
              <w:rPr>
                <w:rFonts w:ascii="Arial" w:eastAsia="Calibri" w:hAnsi="Arial" w:cs="Arial"/>
              </w:rPr>
              <w:t xml:space="preserve">437 145 </w:t>
            </w:r>
            <w:r w:rsidRPr="00801592">
              <w:rPr>
                <w:rFonts w:ascii="Arial" w:eastAsia="Calibri" w:hAnsi="Arial" w:cs="Arial"/>
              </w:rPr>
              <w:t>os</w:t>
            </w:r>
            <w:r>
              <w:rPr>
                <w:rFonts w:ascii="Arial" w:eastAsia="Calibri" w:hAnsi="Arial" w:cs="Arial"/>
              </w:rPr>
              <w:t>ób</w:t>
            </w:r>
            <w:r w:rsidRPr="00801592">
              <w:rPr>
                <w:rFonts w:ascii="Arial" w:eastAsia="Calibri" w:hAnsi="Arial" w:cs="Arial"/>
              </w:rPr>
              <w:t>.</w:t>
            </w:r>
          </w:p>
          <w:p w14:paraId="25ED1F95" w14:textId="6F782DBE" w:rsidR="00C90F02" w:rsidRPr="00801592" w:rsidRDefault="00C90F02" w:rsidP="0076223A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000000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</w:tbl>
    <w:p w14:paraId="40236634" w14:textId="77777777" w:rsidR="00CA4897" w:rsidRPr="00801592" w:rsidRDefault="00CA4897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789F4A9B" w:rsidR="00AB45F3" w:rsidRPr="003F10CC" w:rsidRDefault="00EA2E0F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0</w:t>
            </w:r>
            <w:r w:rsidR="002F3C6E">
              <w:rPr>
                <w:rFonts w:ascii="Arial" w:eastAsia="Calibri" w:hAnsi="Arial" w:cs="Arial"/>
                <w:iCs/>
              </w:rPr>
              <w:t>5</w:t>
            </w:r>
            <w:r w:rsidR="00545800" w:rsidRPr="003F10CC">
              <w:rPr>
                <w:rFonts w:ascii="Arial" w:eastAsia="Calibri" w:hAnsi="Arial" w:cs="Arial"/>
                <w:iCs/>
              </w:rPr>
              <w:t>.</w:t>
            </w:r>
            <w:r w:rsidR="00F95213" w:rsidRPr="003F10CC">
              <w:rPr>
                <w:rFonts w:ascii="Arial" w:eastAsia="Calibri" w:hAnsi="Arial" w:cs="Arial"/>
                <w:iCs/>
              </w:rPr>
              <w:t>1</w:t>
            </w:r>
            <w:r>
              <w:rPr>
                <w:rFonts w:ascii="Arial" w:eastAsia="Calibri" w:hAnsi="Arial" w:cs="Arial"/>
                <w:iCs/>
              </w:rPr>
              <w:t>2</w:t>
            </w:r>
            <w:r w:rsidR="00545800" w:rsidRPr="003F10CC">
              <w:rPr>
                <w:rFonts w:ascii="Arial" w:eastAsia="Calibri" w:hAnsi="Arial" w:cs="Arial"/>
                <w:iCs/>
              </w:rPr>
              <w:t>.20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012271" w:rsidRPr="003F10CC">
              <w:rPr>
                <w:rFonts w:ascii="Arial" w:eastAsia="Calibri" w:hAnsi="Arial" w:cs="Arial"/>
                <w:iCs/>
              </w:rPr>
              <w:t>2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F95213" w:rsidRPr="003F10CC">
              <w:rPr>
                <w:rFonts w:ascii="Arial" w:eastAsia="Calibri" w:hAnsi="Arial" w:cs="Arial"/>
                <w:iCs/>
              </w:rPr>
              <w:t>9</w:t>
            </w:r>
            <w:r w:rsidR="00F15574" w:rsidRPr="003F10CC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AB45F3" w:rsidRPr="00801592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47318141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 xml:space="preserve">. Dz. U. z 2021 r. poz. 1973 z </w:t>
            </w:r>
            <w:proofErr w:type="spellStart"/>
            <w:r w:rsidRPr="00B769B7">
              <w:rPr>
                <w:rFonts w:ascii="Arial" w:eastAsia="Calibri" w:hAnsi="Arial" w:cs="Arial"/>
              </w:rPr>
              <w:t>późn</w:t>
            </w:r>
            <w:proofErr w:type="spellEnd"/>
            <w:r w:rsidRPr="00B769B7">
              <w:rPr>
                <w:rFonts w:ascii="Arial" w:eastAsia="Calibri" w:hAnsi="Arial" w:cs="Arial"/>
              </w:rPr>
              <w:t>. zm.),</w:t>
            </w:r>
          </w:p>
          <w:p w14:paraId="3456397B" w14:textId="4D536DD7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t.j.Dz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U. 2021 r. poz. 845)</w:t>
            </w:r>
          </w:p>
        </w:tc>
      </w:tr>
      <w:tr w:rsidR="00AB45F3" w:rsidRPr="00801592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000000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452C1A0" w14:textId="77777777" w:rsidR="00F254B0" w:rsidRPr="00801592" w:rsidRDefault="00F254B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:rsidRPr="00801592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71249F6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35AE" w:rsidRPr="00801592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56" w14:textId="3AF8D740" w:rsidR="008D35AE" w:rsidRPr="00801592" w:rsidRDefault="003A4100" w:rsidP="006359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="00EA2E0F">
              <w:rPr>
                <w:rFonts w:ascii="Arial" w:eastAsia="Times New Roman" w:hAnsi="Arial" w:cs="Arial"/>
                <w:lang w:eastAsia="pl-PL"/>
              </w:rPr>
              <w:t>04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F95213">
              <w:rPr>
                <w:rFonts w:ascii="Arial" w:eastAsia="Times New Roman" w:hAnsi="Arial" w:cs="Arial"/>
                <w:lang w:eastAsia="pl-PL"/>
              </w:rPr>
              <w:t>1</w:t>
            </w:r>
            <w:r w:rsidR="00EA2E0F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.2022 r. na części obszaru woj. śląskiego istnieje ryzyko wystąpienia przekroczenia poziomu informowania dla pyłu zawieszonego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35AE" w:rsidRPr="00801592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801592" w:rsidDel="008E16B7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63D73656" w:rsidR="008D35AE" w:rsidRPr="00E61355" w:rsidRDefault="008D35AE" w:rsidP="008669AD">
            <w:pPr>
              <w:jc w:val="both"/>
              <w:rPr>
                <w:rFonts w:ascii="Arial" w:hAnsi="Arial" w:cs="Arial"/>
                <w:b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 w:rsidR="00EA2E0F">
              <w:rPr>
                <w:rFonts w:ascii="Arial" w:eastAsia="Calibri" w:hAnsi="Arial" w:cs="Arial"/>
              </w:rPr>
              <w:t>04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F95213">
              <w:rPr>
                <w:rFonts w:ascii="Arial" w:eastAsia="Times New Roman" w:hAnsi="Arial" w:cs="Arial"/>
                <w:lang w:eastAsia="pl-PL"/>
              </w:rPr>
              <w:t>1</w:t>
            </w:r>
            <w:r w:rsidR="00EA2E0F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>przekroczenia poziomu informowania dla pyłu zawieszonego PM10 obejmują</w:t>
            </w:r>
            <w:r w:rsidR="008A017D">
              <w:rPr>
                <w:rFonts w:ascii="Arial" w:eastAsia="Calibri" w:hAnsi="Arial" w:cs="Arial"/>
              </w:rPr>
              <w:t xml:space="preserve"> </w:t>
            </w:r>
            <w:r w:rsidR="0011397A" w:rsidRPr="00E835B8">
              <w:rPr>
                <w:rFonts w:ascii="Arial" w:eastAsia="Calibri" w:hAnsi="Arial" w:cs="Arial"/>
              </w:rPr>
              <w:t>powiat cieszyński</w:t>
            </w:r>
            <w:r w:rsidR="0011397A">
              <w:rPr>
                <w:rFonts w:ascii="Arial" w:eastAsia="Calibri" w:hAnsi="Arial" w:cs="Arial"/>
              </w:rPr>
              <w:t xml:space="preserve">, </w:t>
            </w:r>
            <w:r w:rsidR="0011397A" w:rsidRPr="00E835B8">
              <w:rPr>
                <w:rFonts w:ascii="Arial" w:eastAsia="Calibri" w:hAnsi="Arial" w:cs="Arial"/>
              </w:rPr>
              <w:t>powiat raciborski</w:t>
            </w:r>
            <w:r w:rsidR="009A6D60">
              <w:rPr>
                <w:rFonts w:ascii="Arial" w:eastAsia="Calibri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1BDE0918" w14:textId="77777777" w:rsidR="0011397A" w:rsidRPr="00801592" w:rsidRDefault="0011397A" w:rsidP="00315BA5">
      <w:pPr>
        <w:spacing w:after="160" w:line="259" w:lineRule="auto"/>
        <w:rPr>
          <w:rFonts w:ascii="Arial" w:hAnsi="Arial" w:cs="Arial"/>
        </w:rPr>
      </w:pPr>
    </w:p>
    <w:p w14:paraId="4035DA90" w14:textId="77777777" w:rsidR="001F35A4" w:rsidRPr="001120FF" w:rsidRDefault="001F35A4" w:rsidP="001F35A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1120FF"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6D0EAA44" w14:textId="77777777" w:rsidR="001F35A4" w:rsidRPr="001120FF" w:rsidRDefault="001F35A4" w:rsidP="001F35A4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66A6D861" w14:textId="77777777" w:rsidR="001F35A4" w:rsidRPr="00801592" w:rsidRDefault="001F35A4" w:rsidP="001F35A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>Andrzej Szczygieł</w:t>
      </w:r>
    </w:p>
    <w:p w14:paraId="29C7EDD0" w14:textId="77777777" w:rsidR="001F35A4" w:rsidRPr="00801592" w:rsidRDefault="001F35A4" w:rsidP="001F35A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>Naczelnik Regionalnego Wydziału</w:t>
      </w:r>
    </w:p>
    <w:p w14:paraId="75FAFF9A" w14:textId="77777777" w:rsidR="001F35A4" w:rsidRPr="00801592" w:rsidRDefault="001F35A4" w:rsidP="001F35A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>Monitoringu Środowiska w Katowicach</w:t>
      </w:r>
    </w:p>
    <w:p w14:paraId="392CBC3E" w14:textId="77777777" w:rsidR="001F35A4" w:rsidRPr="00801592" w:rsidRDefault="001F35A4" w:rsidP="001F35A4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F35A4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5B8A" w14:textId="77777777" w:rsidR="00EB4FF0" w:rsidRDefault="00EB4FF0" w:rsidP="00656169">
      <w:pPr>
        <w:spacing w:after="0" w:line="240" w:lineRule="auto"/>
      </w:pPr>
      <w:r>
        <w:separator/>
      </w:r>
    </w:p>
  </w:endnote>
  <w:endnote w:type="continuationSeparator" w:id="0">
    <w:p w14:paraId="279FFC44" w14:textId="77777777" w:rsidR="00EB4FF0" w:rsidRDefault="00EB4FF0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69FB" w14:textId="77777777" w:rsidR="00EB4FF0" w:rsidRDefault="00EB4FF0" w:rsidP="00656169">
      <w:pPr>
        <w:spacing w:after="0" w:line="240" w:lineRule="auto"/>
      </w:pPr>
      <w:r>
        <w:separator/>
      </w:r>
    </w:p>
  </w:footnote>
  <w:footnote w:type="continuationSeparator" w:id="0">
    <w:p w14:paraId="7014374E" w14:textId="77777777" w:rsidR="00EB4FF0" w:rsidRDefault="00EB4FF0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78292">
    <w:abstractNumId w:val="9"/>
  </w:num>
  <w:num w:numId="2" w16cid:durableId="1358578843">
    <w:abstractNumId w:val="13"/>
  </w:num>
  <w:num w:numId="3" w16cid:durableId="612635040">
    <w:abstractNumId w:val="1"/>
  </w:num>
  <w:num w:numId="4" w16cid:durableId="1762676102">
    <w:abstractNumId w:val="4"/>
  </w:num>
  <w:num w:numId="5" w16cid:durableId="1978754889">
    <w:abstractNumId w:val="11"/>
  </w:num>
  <w:num w:numId="6" w16cid:durableId="1682852360">
    <w:abstractNumId w:val="0"/>
  </w:num>
  <w:num w:numId="7" w16cid:durableId="1294477969">
    <w:abstractNumId w:val="6"/>
  </w:num>
  <w:num w:numId="8" w16cid:durableId="128017940">
    <w:abstractNumId w:val="2"/>
  </w:num>
  <w:num w:numId="9" w16cid:durableId="2133817758">
    <w:abstractNumId w:val="8"/>
  </w:num>
  <w:num w:numId="10" w16cid:durableId="1436905667">
    <w:abstractNumId w:val="7"/>
  </w:num>
  <w:num w:numId="11" w16cid:durableId="471873769">
    <w:abstractNumId w:val="10"/>
  </w:num>
  <w:num w:numId="12" w16cid:durableId="631793223">
    <w:abstractNumId w:val="12"/>
  </w:num>
  <w:num w:numId="13" w16cid:durableId="1204320140">
    <w:abstractNumId w:val="3"/>
  </w:num>
  <w:num w:numId="14" w16cid:durableId="124652535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38B4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01AF"/>
    <w:rsid w:val="000762F7"/>
    <w:rsid w:val="00076851"/>
    <w:rsid w:val="00077A6F"/>
    <w:rsid w:val="0008227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62F8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7674"/>
    <w:rsid w:val="00132EB1"/>
    <w:rsid w:val="00133872"/>
    <w:rsid w:val="001363E2"/>
    <w:rsid w:val="00142E2A"/>
    <w:rsid w:val="00143BB9"/>
    <w:rsid w:val="00144048"/>
    <w:rsid w:val="001443B8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3852"/>
    <w:rsid w:val="0017466F"/>
    <w:rsid w:val="001756B3"/>
    <w:rsid w:val="00177504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6E9E"/>
    <w:rsid w:val="001D704F"/>
    <w:rsid w:val="001E0285"/>
    <w:rsid w:val="001E06D8"/>
    <w:rsid w:val="001E34AC"/>
    <w:rsid w:val="001E444B"/>
    <w:rsid w:val="001E4ED9"/>
    <w:rsid w:val="001E584F"/>
    <w:rsid w:val="001F01C6"/>
    <w:rsid w:val="001F35A4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E65"/>
    <w:rsid w:val="00263C0C"/>
    <w:rsid w:val="00266132"/>
    <w:rsid w:val="002666C8"/>
    <w:rsid w:val="00266F86"/>
    <w:rsid w:val="00272F19"/>
    <w:rsid w:val="00273C9B"/>
    <w:rsid w:val="002747C2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26BA"/>
    <w:rsid w:val="002F33C0"/>
    <w:rsid w:val="002F3C6E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179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B7A80"/>
    <w:rsid w:val="003C3233"/>
    <w:rsid w:val="003C3AE8"/>
    <w:rsid w:val="003C4BDD"/>
    <w:rsid w:val="003C5C2F"/>
    <w:rsid w:val="003C69BA"/>
    <w:rsid w:val="003C729D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0CC"/>
    <w:rsid w:val="003F1C00"/>
    <w:rsid w:val="003F25B1"/>
    <w:rsid w:val="003F2605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2739"/>
    <w:rsid w:val="00443555"/>
    <w:rsid w:val="00445038"/>
    <w:rsid w:val="004454B1"/>
    <w:rsid w:val="004464B3"/>
    <w:rsid w:val="0045072D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4D41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2C74"/>
    <w:rsid w:val="00675961"/>
    <w:rsid w:val="006801FA"/>
    <w:rsid w:val="00680385"/>
    <w:rsid w:val="00680440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77F52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F097D"/>
    <w:rsid w:val="007F375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79F"/>
    <w:rsid w:val="008408AB"/>
    <w:rsid w:val="00843591"/>
    <w:rsid w:val="00843939"/>
    <w:rsid w:val="0084598D"/>
    <w:rsid w:val="00847A74"/>
    <w:rsid w:val="00851A00"/>
    <w:rsid w:val="00852E92"/>
    <w:rsid w:val="00853ED4"/>
    <w:rsid w:val="008560B2"/>
    <w:rsid w:val="008669AD"/>
    <w:rsid w:val="0087176D"/>
    <w:rsid w:val="00872532"/>
    <w:rsid w:val="00873130"/>
    <w:rsid w:val="00876AF1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17D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50C8"/>
    <w:rsid w:val="009060E7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31BA"/>
    <w:rsid w:val="0096433F"/>
    <w:rsid w:val="00965666"/>
    <w:rsid w:val="00980AF0"/>
    <w:rsid w:val="00981A17"/>
    <w:rsid w:val="009A12B3"/>
    <w:rsid w:val="009A3478"/>
    <w:rsid w:val="009A42D6"/>
    <w:rsid w:val="009A46CC"/>
    <w:rsid w:val="009A6457"/>
    <w:rsid w:val="009A6D60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07A4B"/>
    <w:rsid w:val="00B16175"/>
    <w:rsid w:val="00B213E6"/>
    <w:rsid w:val="00B21CB0"/>
    <w:rsid w:val="00B2359A"/>
    <w:rsid w:val="00B2615D"/>
    <w:rsid w:val="00B27322"/>
    <w:rsid w:val="00B3064D"/>
    <w:rsid w:val="00B3308C"/>
    <w:rsid w:val="00B348C8"/>
    <w:rsid w:val="00B357D7"/>
    <w:rsid w:val="00B40CEB"/>
    <w:rsid w:val="00B42928"/>
    <w:rsid w:val="00B46C07"/>
    <w:rsid w:val="00B46DDA"/>
    <w:rsid w:val="00B46DDB"/>
    <w:rsid w:val="00B46EA0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69B7"/>
    <w:rsid w:val="00B77580"/>
    <w:rsid w:val="00B803A8"/>
    <w:rsid w:val="00B80563"/>
    <w:rsid w:val="00B811FD"/>
    <w:rsid w:val="00B82F54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B5452"/>
    <w:rsid w:val="00BC1958"/>
    <w:rsid w:val="00BC2DF8"/>
    <w:rsid w:val="00BC5AF9"/>
    <w:rsid w:val="00BD08D9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6AF4"/>
    <w:rsid w:val="00C204A4"/>
    <w:rsid w:val="00C220CC"/>
    <w:rsid w:val="00C22BE4"/>
    <w:rsid w:val="00C2380B"/>
    <w:rsid w:val="00C3106F"/>
    <w:rsid w:val="00C32410"/>
    <w:rsid w:val="00C327D2"/>
    <w:rsid w:val="00C366FA"/>
    <w:rsid w:val="00C41C9D"/>
    <w:rsid w:val="00C42094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4E17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0F6A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2E0F"/>
    <w:rsid w:val="00EA3F08"/>
    <w:rsid w:val="00EA70A7"/>
    <w:rsid w:val="00EB2F13"/>
    <w:rsid w:val="00EB4FF0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254B0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65823"/>
    <w:rsid w:val="00F73368"/>
    <w:rsid w:val="00F750DD"/>
    <w:rsid w:val="00F76303"/>
    <w:rsid w:val="00F7759C"/>
    <w:rsid w:val="00F80883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560F-32C6-4936-8403-F4161F65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Halina Radziszewska</cp:lastModifiedBy>
  <cp:revision>6</cp:revision>
  <cp:lastPrinted>2022-03-26T06:12:00Z</cp:lastPrinted>
  <dcterms:created xsi:type="dcterms:W3CDTF">2022-12-05T07:06:00Z</dcterms:created>
  <dcterms:modified xsi:type="dcterms:W3CDTF">2022-12-05T07:40:00Z</dcterms:modified>
</cp:coreProperties>
</file>