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50" w:type="dxa"/>
        <w:tblBorders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3149"/>
        <w:gridCol w:w="3149"/>
      </w:tblGrid>
      <w:tr w:rsidR="00FF1638" w:rsidRPr="00F73FAD" w14:paraId="224574A6" w14:textId="77777777" w:rsidTr="004F43D6">
        <w:trPr>
          <w:trHeight w:val="37"/>
        </w:trPr>
        <w:tc>
          <w:tcPr>
            <w:tcW w:w="8850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175F" w14:textId="77777777" w:rsidR="00FF1638" w:rsidRPr="00F73FAD" w:rsidRDefault="00FF1638" w:rsidP="004F43D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F73FAD">
              <w:rPr>
                <w:rFonts w:eastAsia="Times New Roman" w:cstheme="minorHAnsi"/>
                <w:b/>
                <w:sz w:val="20"/>
                <w:szCs w:val="20"/>
              </w:rPr>
              <w:t>Karta przedsięwzięcia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rewitalizacyjnego</w:t>
            </w:r>
            <w:r w:rsidRPr="00F73FAD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F1638" w:rsidRPr="00F73FAD" w14:paraId="78628B47" w14:textId="77777777" w:rsidTr="004F43D6">
        <w:trPr>
          <w:trHeight w:val="175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8D5AD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Nazwa przedsięwzięcia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A31BA" w14:textId="77777777" w:rsidR="00FF1638" w:rsidRPr="00F73FAD" w:rsidRDefault="00FF1638" w:rsidP="004F43D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FF1638" w:rsidRPr="00F73FAD" w14:paraId="340A20C7" w14:textId="77777777" w:rsidTr="004F43D6">
        <w:trPr>
          <w:trHeight w:val="1233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61368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Inicjator i pozostałe podmioty uczestniczące w realizacji przedsięwzięcia (nazwa, dane kontaktowe: adres email, telefon)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37D48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1638" w:rsidRPr="00F73FAD" w14:paraId="19176121" w14:textId="77777777" w:rsidTr="004F43D6">
        <w:trPr>
          <w:trHeight w:val="359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8423F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Lokalizacja przedsięwzięcia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21719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>Adres………………………………………………………………………………………………………………………………………………………………………………………….……………</w:t>
            </w:r>
          </w:p>
          <w:p w14:paraId="33ACD401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>Projekt na obszarze rewitalizacji: TAK/NIE</w:t>
            </w:r>
          </w:p>
          <w:p w14:paraId="084DED81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>Jeśli NIE – u</w:t>
            </w: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>zasadnienie położenia</w:t>
            </w:r>
            <w:r>
              <w:rPr>
                <w:rFonts w:eastAsia="Times New Roman" w:cstheme="minorHAnsi"/>
                <w:iCs/>
                <w:sz w:val="20"/>
                <w:szCs w:val="20"/>
              </w:rPr>
              <w:t>/realizacji</w:t>
            </w: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 xml:space="preserve"> projektu poza obszarem rewitalizacji:</w:t>
            </w:r>
          </w:p>
          <w:p w14:paraId="309D2EC1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F73FAD">
              <w:rPr>
                <w:rFonts w:eastAsia="Times New Roman" w:cstheme="minorHAnsi"/>
                <w:iCs/>
                <w:sz w:val="20"/>
                <w:szCs w:val="20"/>
              </w:rPr>
              <w:t>………………………………………………………………………………………….………………………………………………………………………………………………..…………………..</w:t>
            </w:r>
          </w:p>
        </w:tc>
      </w:tr>
      <w:tr w:rsidR="00FF1638" w:rsidRPr="00F73FAD" w14:paraId="73B51DA2" w14:textId="77777777" w:rsidTr="004F43D6">
        <w:trPr>
          <w:trHeight w:val="111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5FF9D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Opis przedsięwzięcia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BEE98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73FAD">
              <w:rPr>
                <w:rFonts w:eastAsia="Times New Roman" w:cstheme="minorHAnsi"/>
                <w:sz w:val="20"/>
                <w:szCs w:val="20"/>
                <w:u w:val="single"/>
              </w:rPr>
              <w:t>Problemy obszaru rewitalizacji, które rozwiązuje przedsięwzięcie:</w:t>
            </w:r>
          </w:p>
          <w:p w14:paraId="29DD1EC7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22F27ECD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BF75564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73FAD">
              <w:rPr>
                <w:rFonts w:eastAsia="Times New Roman" w:cstheme="minorHAnsi"/>
                <w:sz w:val="20"/>
                <w:szCs w:val="20"/>
                <w:u w:val="single"/>
              </w:rPr>
              <w:t>Główny cel projektu:</w:t>
            </w:r>
          </w:p>
          <w:p w14:paraId="6A93ABC7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3E31D1F3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8503D42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 w:rsidRPr="00F73FAD">
              <w:rPr>
                <w:rFonts w:eastAsia="Times New Roman" w:cstheme="minorHAnsi"/>
                <w:sz w:val="20"/>
                <w:szCs w:val="20"/>
                <w:u w:val="single"/>
              </w:rPr>
              <w:t>Zakres realizowanych zadań:</w:t>
            </w:r>
          </w:p>
          <w:p w14:paraId="594AC89E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24FF45B8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70226208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sz w:val="20"/>
                <w:szCs w:val="20"/>
                <w:u w:val="single"/>
              </w:rPr>
              <w:t>Przewidywane rezultaty:</w:t>
            </w:r>
          </w:p>
          <w:p w14:paraId="7217C3F7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14C5CCB3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034AAD26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sz w:val="20"/>
                <w:szCs w:val="20"/>
                <w:u w:val="single"/>
              </w:rPr>
              <w:t>Ewentualni partnerzy:</w:t>
            </w:r>
          </w:p>
          <w:p w14:paraId="62E12E2B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</w:tr>
      <w:tr w:rsidR="00FF1638" w:rsidRPr="00856431" w14:paraId="736FEA1F" w14:textId="77777777" w:rsidTr="004F43D6">
        <w:trPr>
          <w:trHeight w:val="458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EC3EB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Spójność z celami i kierunkami działań GPR</w:t>
            </w:r>
          </w:p>
          <w:p w14:paraId="30EECFC9" w14:textId="77777777" w:rsidR="00FF1638" w:rsidRPr="004E4396" w:rsidRDefault="00FF1638" w:rsidP="004F43D6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4E4396">
              <w:rPr>
                <w:rFonts w:eastAsia="Times New Roman" w:cstheme="minorHAnsi"/>
                <w:i/>
                <w:iCs/>
                <w:sz w:val="16"/>
                <w:szCs w:val="16"/>
              </w:rPr>
              <w:t>(należy wskazać, z którymi kierunkami)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61B73" w14:textId="77777777" w:rsidR="00FF1638" w:rsidRPr="00856431" w:rsidRDefault="00FF1638" w:rsidP="004F43D6">
            <w:pPr>
              <w:pStyle w:val="Akapitzlist"/>
              <w:spacing w:after="0" w:line="276" w:lineRule="auto"/>
              <w:ind w:left="44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56431">
              <w:rPr>
                <w:rFonts w:cstheme="minorHAnsi"/>
                <w:b/>
                <w:sz w:val="18"/>
                <w:szCs w:val="18"/>
              </w:rPr>
              <w:t xml:space="preserve">C1. </w:t>
            </w:r>
            <w:r w:rsidRPr="00104DFF">
              <w:rPr>
                <w:rFonts w:cstheme="minorHAnsi"/>
                <w:b/>
                <w:sz w:val="18"/>
                <w:szCs w:val="18"/>
              </w:rPr>
              <w:t>Wzmacnianie spójności i aktywności społecznej mieszkańców poprzez rozwój usług społecznych, integrację międzypokoleniową i przeciwdziałanie wykluczeniu</w:t>
            </w:r>
            <w:r w:rsidRPr="00856431">
              <w:rPr>
                <w:b/>
                <w:bCs/>
                <w:sz w:val="18"/>
                <w:szCs w:val="18"/>
              </w:rPr>
              <w:t>:</w:t>
            </w:r>
            <w:r w:rsidRPr="0085643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0377E4EC" w14:textId="77777777" w:rsidR="00FF1638" w:rsidRPr="00856431" w:rsidRDefault="00FF1638" w:rsidP="00FF16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04DFF">
              <w:rPr>
                <w:rFonts w:cstheme="minorHAnsi"/>
                <w:bCs/>
                <w:sz w:val="18"/>
                <w:szCs w:val="18"/>
              </w:rPr>
              <w:t>Budowanie relacji i wspólnoty lokalnej poprzez inicjatywy społeczne i</w:t>
            </w:r>
            <w:r>
              <w:rPr>
                <w:rFonts w:cstheme="minorHAnsi"/>
                <w:bCs/>
                <w:sz w:val="18"/>
                <w:szCs w:val="18"/>
              </w:rPr>
              <w:t> </w:t>
            </w:r>
            <w:r w:rsidRPr="00104DFF">
              <w:rPr>
                <w:rFonts w:cstheme="minorHAnsi"/>
                <w:bCs/>
                <w:sz w:val="18"/>
                <w:szCs w:val="18"/>
              </w:rPr>
              <w:t>edukacyjne skierowane do różnych grup wiekowych</w:t>
            </w:r>
            <w:r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2995D28E" w14:textId="77777777" w:rsidR="00FF1638" w:rsidRPr="00856431" w:rsidRDefault="00FF1638" w:rsidP="00FF16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Zapewnienie wysokiej jakości wsparcia społecznego i edukacyjnego dostosowanego do potrzeb mieszkańców w różnym wieku i sytuacji życiowej</w:t>
            </w:r>
            <w:r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73BB5A7D" w14:textId="77777777" w:rsidR="00FF1638" w:rsidRDefault="00FF1638" w:rsidP="00FF16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Wzmacnianie kompetencji społecznych i zawodowych osób wykluczonych lub zagrożonych wykluczeniem poprzez programy aktywizujące i edukacyjne</w:t>
            </w:r>
            <w:r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758B637F" w14:textId="77777777" w:rsidR="00FF1638" w:rsidRPr="007F5FA5" w:rsidRDefault="00FF1638" w:rsidP="00FF163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Zwiększanie poczucia bezpieczeństwa wśród mieszkańców poprzez działania prewencyjne i rozwój współpracy lokalnych instytucji.</w:t>
            </w:r>
          </w:p>
          <w:p w14:paraId="7F74E32A" w14:textId="77777777" w:rsidR="00FF1638" w:rsidRPr="00856431" w:rsidRDefault="00FF1638" w:rsidP="004F43D6">
            <w:pPr>
              <w:pStyle w:val="Akapitzlist"/>
              <w:spacing w:after="0" w:line="276" w:lineRule="auto"/>
              <w:ind w:left="4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56431">
              <w:rPr>
                <w:rFonts w:cstheme="minorHAnsi"/>
                <w:b/>
                <w:sz w:val="18"/>
                <w:szCs w:val="18"/>
              </w:rPr>
              <w:t xml:space="preserve">C2. </w:t>
            </w:r>
            <w:r>
              <w:rPr>
                <w:rFonts w:cstheme="minorHAnsi"/>
                <w:b/>
                <w:sz w:val="18"/>
                <w:szCs w:val="18"/>
              </w:rPr>
              <w:t>Tworzenie przyjaznej, dostępnej i dobrze wyposażonej przestrzeni sprzyjającej codziennemu życiu, aktywności i usługom lokalnym oraz poprawa warunków infrastrukturalnych</w:t>
            </w:r>
            <w:r w:rsidRPr="00856431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423BAEFB" w14:textId="77777777" w:rsidR="00FF1638" w:rsidRPr="00856431" w:rsidRDefault="00FF1638" w:rsidP="00FF163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>Tworzenie nowoczesnej i funkcjonalnej infrastruktury publicznej odpowiadającej na zróżnicowane potrzeby społeczności lokalnej.</w:t>
            </w:r>
          </w:p>
          <w:p w14:paraId="06B49C3E" w14:textId="77777777" w:rsidR="00FF1638" w:rsidRPr="00856431" w:rsidRDefault="00FF1638" w:rsidP="00FF163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Kształtowanie estetycznych i dostępnych przestrzeni wspólnych sprzyjających codziennemu użytkowaniu i integracji mieszkańców.</w:t>
            </w:r>
          </w:p>
          <w:p w14:paraId="59DAADD2" w14:textId="77777777" w:rsidR="00FF1638" w:rsidRPr="007F5FA5" w:rsidRDefault="00FF1638" w:rsidP="00FF163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Pobudzanie lokalnej przedsiębiorczości i inicjatyw społecznych poprzez zagospodarowanie przestrzeni sprzyjających działaniu i współpracy.</w:t>
            </w:r>
          </w:p>
          <w:p w14:paraId="354B2D14" w14:textId="77777777" w:rsidR="00FF1638" w:rsidRPr="00856431" w:rsidRDefault="00FF1638" w:rsidP="004F43D6">
            <w:pPr>
              <w:pStyle w:val="Akapitzlist"/>
              <w:spacing w:after="0" w:line="276" w:lineRule="auto"/>
              <w:ind w:left="4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56431">
              <w:rPr>
                <w:rFonts w:cstheme="minorHAnsi"/>
                <w:b/>
                <w:sz w:val="18"/>
                <w:szCs w:val="18"/>
              </w:rPr>
              <w:t xml:space="preserve">C3. </w:t>
            </w:r>
            <w:r>
              <w:rPr>
                <w:rFonts w:cstheme="minorHAnsi"/>
                <w:b/>
                <w:sz w:val="18"/>
                <w:szCs w:val="18"/>
              </w:rPr>
              <w:t>Zwiększenie odporności środowiskowej obszaru i rozwój postaw proekologicznych wśród mieszkańców poprzez zintegrowane działania inwestycyjne i edukacyjne</w:t>
            </w:r>
            <w:r w:rsidRPr="00856431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200D1F4D" w14:textId="77777777" w:rsidR="00FF1638" w:rsidRPr="00856431" w:rsidRDefault="00FF1638" w:rsidP="00FF163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Zwiększanie efektywności energetycznej i komfortu użytkowania obiektów poprzez ich modernizację i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termorenowację</w:t>
            </w:r>
            <w:proofErr w:type="spellEnd"/>
            <w:r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327687F1" w14:textId="77777777" w:rsidR="00FF1638" w:rsidRPr="00856431" w:rsidRDefault="00FF1638" w:rsidP="00FF163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Redukcja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ryzyk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ekologicznych i zdrowotnych poprzez eliminację zagrożeń oraz działania adaptacyjne na rzecz klimatu i środowiska</w:t>
            </w:r>
            <w:r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084A0085" w14:textId="77777777" w:rsidR="00FF1638" w:rsidRDefault="00FF1638" w:rsidP="00FF163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Tworzenie i rozwój zielonej infrastruktury wspierającej dobrostan mieszkańców i poprawiającej jakość przestrzeni życiowej</w:t>
            </w:r>
            <w:r w:rsidRPr="00856431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1A02AB3C" w14:textId="77777777" w:rsidR="00FF1638" w:rsidRPr="00856431" w:rsidRDefault="00FF1638" w:rsidP="00FF163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50" w:hanging="578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Rozwijanie świadomości ekologicznej i kształtowanie nawyków proekologicznych zarówno w społeczności, jak i instytucjach lokalnych.</w:t>
            </w:r>
          </w:p>
        </w:tc>
      </w:tr>
      <w:tr w:rsidR="00FF1638" w:rsidRPr="00856431" w14:paraId="4B28D3CB" w14:textId="77777777" w:rsidTr="004F43D6">
        <w:trPr>
          <w:trHeight w:val="74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5927C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lastRenderedPageBreak/>
              <w:t>Prognozowane rezultaty wraz ze sposobem ich oceny w odniesieniu do celów rewitalizacji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17630" w14:textId="77777777" w:rsidR="00FF1638" w:rsidRPr="00856431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856431">
              <w:rPr>
                <w:rFonts w:eastAsia="Times New Roman" w:cstheme="minorHAnsi"/>
                <w:sz w:val="20"/>
                <w:szCs w:val="20"/>
              </w:rPr>
              <w:t>Wskaźniki produktu:……………………………………..</w:t>
            </w:r>
            <w:r w:rsidRPr="00856431">
              <w:rPr>
                <w:rStyle w:val="Odwoanieprzypisudolnego"/>
                <w:rFonts w:eastAsia="Times New Roman" w:cstheme="minorHAnsi"/>
                <w:sz w:val="20"/>
                <w:szCs w:val="20"/>
              </w:rPr>
              <w:footnoteReference w:id="1"/>
            </w:r>
          </w:p>
          <w:p w14:paraId="559FF2CB" w14:textId="77777777" w:rsidR="00FF1638" w:rsidRPr="00856431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856431">
              <w:rPr>
                <w:rFonts w:eastAsia="Times New Roman" w:cstheme="minorHAnsi"/>
                <w:sz w:val="20"/>
                <w:szCs w:val="20"/>
              </w:rPr>
              <w:t>Sposób pomiaru:………………………………………………………</w:t>
            </w:r>
          </w:p>
          <w:p w14:paraId="74322A0A" w14:textId="77777777" w:rsidR="00FF1638" w:rsidRPr="00856431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383A8BC" w14:textId="77777777" w:rsidR="00FF1638" w:rsidRPr="00856431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856431">
              <w:rPr>
                <w:rFonts w:eastAsia="Times New Roman" w:cstheme="minorHAnsi"/>
                <w:sz w:val="20"/>
                <w:szCs w:val="20"/>
              </w:rPr>
              <w:t>Wskaźniki rezultatu:……………………………………..</w:t>
            </w:r>
          </w:p>
          <w:p w14:paraId="2CED0BBD" w14:textId="77777777" w:rsidR="00FF1638" w:rsidRPr="00856431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856431">
              <w:rPr>
                <w:rFonts w:eastAsia="Times New Roman" w:cstheme="minorHAnsi"/>
                <w:sz w:val="20"/>
                <w:szCs w:val="20"/>
              </w:rPr>
              <w:t>Sposób pomiaru:………………………………………………………</w:t>
            </w:r>
          </w:p>
          <w:p w14:paraId="1CE82A87" w14:textId="77777777" w:rsidR="00FF1638" w:rsidRPr="00856431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1B440DB" w14:textId="77777777" w:rsidR="00FF1638" w:rsidRPr="00856431" w:rsidRDefault="00FF1638" w:rsidP="004F43D6">
            <w:pPr>
              <w:spacing w:after="0" w:line="276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856431">
              <w:rPr>
                <w:rFonts w:eastAsia="Times New Roman" w:cstheme="minorHAnsi"/>
                <w:i/>
                <w:sz w:val="20"/>
                <w:szCs w:val="20"/>
              </w:rPr>
              <w:t xml:space="preserve">(należy wskazać nazwę oraz wartość zarówno wskaźnika produktu, jak i rezultatu) </w:t>
            </w:r>
          </w:p>
        </w:tc>
      </w:tr>
      <w:tr w:rsidR="00FF1638" w:rsidRPr="00F73FAD" w14:paraId="040CD4BA" w14:textId="77777777" w:rsidTr="004F43D6">
        <w:trPr>
          <w:trHeight w:val="1235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20276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 xml:space="preserve">Opis działań zapewniających dostępność osobom ze szczególnymi potrzebami w tym zakresie 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56266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1638" w:rsidRPr="00F73FAD" w14:paraId="54F28033" w14:textId="77777777" w:rsidTr="004F43D6">
        <w:trPr>
          <w:trHeight w:val="342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985CF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Czas realizacji</w:t>
            </w:r>
          </w:p>
          <w:p w14:paraId="4E9F56C7" w14:textId="77777777" w:rsidR="00FF1638" w:rsidRPr="003344CB" w:rsidRDefault="00FF1638" w:rsidP="004F43D6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3344CB">
              <w:rPr>
                <w:rFonts w:eastAsia="Times New Roman" w:cstheme="minorHAnsi"/>
                <w:i/>
                <w:iCs/>
                <w:sz w:val="18"/>
                <w:szCs w:val="18"/>
              </w:rPr>
              <w:t>(okres obowiązywania GPR obejmuje lata 202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5</w:t>
            </w:r>
            <w:r w:rsidRPr="003344CB">
              <w:rPr>
                <w:rFonts w:eastAsia="Times New Roman" w:cstheme="minorHAnsi"/>
                <w:i/>
                <w:iCs/>
                <w:sz w:val="18"/>
                <w:szCs w:val="18"/>
              </w:rPr>
              <w:t>-203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5, zatem czas realizacji powinien się w nim mieścić, np. 2026-2029, 2027-2032 itp.</w:t>
            </w:r>
            <w:r w:rsidRPr="003344CB">
              <w:rPr>
                <w:rFonts w:eastAsia="Times New Roman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0DE71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1638" w:rsidRPr="00F73FAD" w14:paraId="7553E4E4" w14:textId="77777777" w:rsidTr="004F43D6">
        <w:trPr>
          <w:trHeight w:val="620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CF49F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F73FAD">
              <w:rPr>
                <w:rFonts w:eastAsia="Times New Roman" w:cstheme="minorHAnsi"/>
                <w:sz w:val="20"/>
                <w:szCs w:val="20"/>
              </w:rPr>
              <w:t>Szacowana wartość przedsięwzięcia w zł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(brutto)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17EA2" w14:textId="77777777" w:rsidR="00FF1638" w:rsidRPr="00F73FAD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1638" w:rsidRPr="00EE03D5" w14:paraId="0D2A3D1E" w14:textId="77777777" w:rsidTr="004F43D6">
        <w:trPr>
          <w:trHeight w:val="216"/>
        </w:trPr>
        <w:tc>
          <w:tcPr>
            <w:tcW w:w="255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E914" w14:textId="77777777" w:rsidR="00FF1638" w:rsidRPr="00EE03D5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>
              <w:lastRenderedPageBreak/>
              <w:t>W tym: potencjalne źródła finansowania</w:t>
            </w:r>
          </w:p>
          <w:p w14:paraId="227A6D79" w14:textId="77777777" w:rsidR="00FF1638" w:rsidRPr="00EE03D5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8031" w14:textId="77777777" w:rsidR="00FF1638" w:rsidRPr="00EE03D5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CF1525">
              <w:rPr>
                <w:rFonts w:cs="Open Sans"/>
                <w:szCs w:val="20"/>
              </w:rPr>
              <w:t>Źródło finansowania</w:t>
            </w:r>
          </w:p>
        </w:tc>
        <w:tc>
          <w:tcPr>
            <w:tcW w:w="3149" w:type="dxa"/>
          </w:tcPr>
          <w:p w14:paraId="5330AB58" w14:textId="77777777" w:rsidR="00FF1638" w:rsidRPr="00EE03D5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CF1525">
              <w:rPr>
                <w:rFonts w:cs="Open Sans"/>
                <w:szCs w:val="20"/>
              </w:rPr>
              <w:t>Szacowana wartość środków</w:t>
            </w:r>
            <w:r>
              <w:rPr>
                <w:rFonts w:cs="Open Sans"/>
                <w:szCs w:val="20"/>
              </w:rPr>
              <w:t xml:space="preserve"> (zł)</w:t>
            </w:r>
          </w:p>
        </w:tc>
      </w:tr>
      <w:tr w:rsidR="00FF1638" w:rsidRPr="00EE03D5" w14:paraId="734E9449" w14:textId="77777777" w:rsidTr="004F43D6">
        <w:trPr>
          <w:trHeight w:val="216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5BD3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82C6" w14:textId="77777777" w:rsidR="00FF1638" w:rsidRDefault="00FF1638" w:rsidP="004F43D6">
            <w:pPr>
              <w:rPr>
                <w:rFonts w:cs="Open Sans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□ </w:t>
            </w:r>
            <w:r w:rsidRPr="00CF1525">
              <w:rPr>
                <w:rFonts w:cs="Open Sans"/>
                <w:szCs w:val="20"/>
              </w:rPr>
              <w:t>Środki pochodzące ze źródeł</w:t>
            </w:r>
            <w:r>
              <w:rPr>
                <w:rFonts w:cs="Open Sans"/>
                <w:szCs w:val="20"/>
              </w:rPr>
              <w:t xml:space="preserve"> krajowych publicznych, jakich? ……………….</w:t>
            </w:r>
          </w:p>
          <w:p w14:paraId="5C47A697" w14:textId="77777777" w:rsidR="00FF1638" w:rsidRDefault="00FF1638" w:rsidP="004F43D6">
            <w:pPr>
              <w:rPr>
                <w:rFonts w:cs="Open Sans"/>
                <w:szCs w:val="20"/>
              </w:rPr>
            </w:pPr>
            <w:r>
              <w:rPr>
                <w:rFonts w:cs="Open Sans"/>
                <w:i/>
                <w:iCs/>
                <w:sz w:val="16"/>
                <w:szCs w:val="14"/>
              </w:rPr>
              <w:t>(budżet gminy, krajowe programy rządowe itp.</w:t>
            </w:r>
            <w:r w:rsidRPr="00C87F3D">
              <w:rPr>
                <w:rFonts w:cs="Open Sans"/>
                <w:i/>
                <w:iCs/>
                <w:sz w:val="16"/>
                <w:szCs w:val="14"/>
              </w:rPr>
              <w:t>)</w:t>
            </w:r>
          </w:p>
        </w:tc>
        <w:tc>
          <w:tcPr>
            <w:tcW w:w="3149" w:type="dxa"/>
          </w:tcPr>
          <w:p w14:paraId="43CEE5B1" w14:textId="77777777" w:rsidR="00FF1638" w:rsidRPr="00EE03D5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>
              <w:t>……………………………………..</w:t>
            </w:r>
          </w:p>
        </w:tc>
      </w:tr>
      <w:tr w:rsidR="00FF1638" w14:paraId="7AEDBD66" w14:textId="77777777" w:rsidTr="004F43D6">
        <w:trPr>
          <w:trHeight w:val="216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9E52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758B" w14:textId="77777777" w:rsidR="00FF1638" w:rsidRDefault="00FF1638" w:rsidP="004F43D6">
            <w:pPr>
              <w:rPr>
                <w:rFonts w:cs="Open Sans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□ </w:t>
            </w:r>
            <w:r w:rsidRPr="00CF1525">
              <w:rPr>
                <w:rFonts w:cs="Open Sans"/>
                <w:szCs w:val="20"/>
              </w:rPr>
              <w:t>Środki pochodzące z</w:t>
            </w:r>
            <w:r>
              <w:rPr>
                <w:rFonts w:cs="Open Sans"/>
                <w:szCs w:val="20"/>
              </w:rPr>
              <w:t xml:space="preserve"> funduszy UE, jakich? ………………….</w:t>
            </w:r>
          </w:p>
          <w:p w14:paraId="534B59D2" w14:textId="77777777" w:rsidR="00FF1638" w:rsidRPr="00C87F3D" w:rsidRDefault="00FF1638" w:rsidP="004F43D6">
            <w:pPr>
              <w:rPr>
                <w:rFonts w:cs="Open Sans"/>
                <w:i/>
                <w:iCs/>
                <w:szCs w:val="20"/>
              </w:rPr>
            </w:pPr>
            <w:r>
              <w:rPr>
                <w:rFonts w:cs="Open Sans"/>
                <w:i/>
                <w:iCs/>
                <w:sz w:val="16"/>
                <w:szCs w:val="14"/>
              </w:rPr>
              <w:t>(</w:t>
            </w:r>
            <w:r w:rsidRPr="00C87F3D">
              <w:rPr>
                <w:rFonts w:cs="Open Sans"/>
                <w:i/>
                <w:iCs/>
                <w:sz w:val="16"/>
                <w:szCs w:val="14"/>
              </w:rPr>
              <w:t>EFS, EFRR,</w:t>
            </w:r>
            <w:r>
              <w:rPr>
                <w:rFonts w:cs="Open Sans"/>
                <w:i/>
                <w:iCs/>
                <w:sz w:val="16"/>
                <w:szCs w:val="14"/>
              </w:rPr>
              <w:t xml:space="preserve"> FS</w:t>
            </w:r>
            <w:r w:rsidRPr="00C87F3D">
              <w:rPr>
                <w:rFonts w:cs="Open Sans"/>
                <w:i/>
                <w:iCs/>
                <w:sz w:val="16"/>
                <w:szCs w:val="14"/>
              </w:rPr>
              <w:t>)</w:t>
            </w:r>
          </w:p>
        </w:tc>
        <w:tc>
          <w:tcPr>
            <w:tcW w:w="3149" w:type="dxa"/>
          </w:tcPr>
          <w:p w14:paraId="0CC19E97" w14:textId="77777777" w:rsidR="00FF1638" w:rsidRDefault="00FF1638" w:rsidP="004F43D6">
            <w:pPr>
              <w:rPr>
                <w:rFonts w:ascii="Arial" w:hAnsi="Arial" w:cs="Arial"/>
                <w:sz w:val="26"/>
                <w:szCs w:val="26"/>
              </w:rPr>
            </w:pPr>
            <w:r>
              <w:t>……………………………………..</w:t>
            </w:r>
          </w:p>
        </w:tc>
      </w:tr>
      <w:tr w:rsidR="00FF1638" w14:paraId="16BAE911" w14:textId="77777777" w:rsidTr="004F43D6">
        <w:trPr>
          <w:trHeight w:val="216"/>
        </w:trPr>
        <w:tc>
          <w:tcPr>
            <w:tcW w:w="25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FB40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9035" w14:textId="77777777" w:rsidR="00FF1638" w:rsidRDefault="00FF1638" w:rsidP="004F43D6">
            <w:pPr>
              <w:rPr>
                <w:rFonts w:cs="Open Sans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□ </w:t>
            </w:r>
            <w:r w:rsidRPr="00CF1525">
              <w:rPr>
                <w:rFonts w:cs="Open Sans"/>
                <w:szCs w:val="20"/>
              </w:rPr>
              <w:t>Środki pochodzące z</w:t>
            </w:r>
            <w:r>
              <w:rPr>
                <w:rFonts w:cs="Open Sans"/>
                <w:szCs w:val="20"/>
              </w:rPr>
              <w:t xml:space="preserve"> innych źródeł, jakich? ……………………</w:t>
            </w:r>
          </w:p>
          <w:p w14:paraId="0DAEFF73" w14:textId="77777777" w:rsidR="00FF1638" w:rsidRDefault="00FF1638" w:rsidP="004F43D6">
            <w:pPr>
              <w:rPr>
                <w:rFonts w:cs="Open Sans"/>
                <w:szCs w:val="20"/>
              </w:rPr>
            </w:pPr>
            <w:r w:rsidRPr="00C87F3D">
              <w:rPr>
                <w:rFonts w:cs="Open Sans"/>
                <w:i/>
                <w:iCs/>
                <w:sz w:val="16"/>
                <w:szCs w:val="14"/>
              </w:rPr>
              <w:t>(np.</w:t>
            </w:r>
            <w:r>
              <w:rPr>
                <w:rFonts w:cs="Open Sans"/>
                <w:i/>
                <w:iCs/>
                <w:sz w:val="16"/>
                <w:szCs w:val="14"/>
              </w:rPr>
              <w:t xml:space="preserve"> inne fundusze zewnętrzne lub środki prywatne</w:t>
            </w:r>
            <w:r w:rsidRPr="00C87F3D">
              <w:rPr>
                <w:rFonts w:cs="Open Sans"/>
                <w:i/>
                <w:iCs/>
                <w:sz w:val="16"/>
                <w:szCs w:val="14"/>
              </w:rPr>
              <w:t>)</w:t>
            </w:r>
          </w:p>
        </w:tc>
        <w:tc>
          <w:tcPr>
            <w:tcW w:w="3149" w:type="dxa"/>
          </w:tcPr>
          <w:p w14:paraId="0D8A891E" w14:textId="77777777" w:rsidR="00FF1638" w:rsidRDefault="00FF1638" w:rsidP="004F43D6">
            <w:pPr>
              <w:rPr>
                <w:rFonts w:ascii="Arial" w:hAnsi="Arial" w:cs="Arial"/>
                <w:sz w:val="26"/>
                <w:szCs w:val="26"/>
              </w:rPr>
            </w:pPr>
            <w:r>
              <w:t>……………………………………..</w:t>
            </w:r>
          </w:p>
        </w:tc>
      </w:tr>
      <w:tr w:rsidR="00FF1638" w14:paraId="474739BF" w14:textId="77777777" w:rsidTr="004F43D6">
        <w:trPr>
          <w:trHeight w:val="216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E840" w14:textId="77777777" w:rsidR="00FF1638" w:rsidRDefault="00FF1638" w:rsidP="004F43D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8C2ED4">
              <w:rPr>
                <w:rFonts w:eastAsia="Times New Roman" w:cstheme="minorHAnsi"/>
                <w:sz w:val="20"/>
                <w:szCs w:val="20"/>
              </w:rPr>
              <w:t>Data zgłoszenia</w:t>
            </w:r>
          </w:p>
        </w:tc>
        <w:tc>
          <w:tcPr>
            <w:tcW w:w="62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A621" w14:textId="77777777" w:rsidR="00FF1638" w:rsidRDefault="00FF1638" w:rsidP="004F43D6"/>
        </w:tc>
      </w:tr>
    </w:tbl>
    <w:p w14:paraId="178A0C69" w14:textId="77777777" w:rsidR="0056164F" w:rsidRDefault="0056164F"/>
    <w:p w14:paraId="0152EDDC" w14:textId="77777777" w:rsidR="009C19FF" w:rsidRDefault="009C19FF"/>
    <w:p w14:paraId="4A377C1E" w14:textId="77777777" w:rsidR="009C19FF" w:rsidRPr="00F73FAD" w:rsidRDefault="009C19FF" w:rsidP="009C19FF">
      <w:pPr>
        <w:rPr>
          <w:rFonts w:cstheme="minorHAnsi"/>
          <w:sz w:val="20"/>
          <w:szCs w:val="20"/>
        </w:rPr>
      </w:pPr>
      <w:r w:rsidRPr="00F73FAD">
        <w:rPr>
          <w:rFonts w:cstheme="minorHAnsi"/>
          <w:sz w:val="20"/>
          <w:szCs w:val="20"/>
        </w:rPr>
        <w:t>Klauzula informacyjna:</w:t>
      </w:r>
    </w:p>
    <w:p w14:paraId="4DA1772B" w14:textId="77777777" w:rsidR="009C19FF" w:rsidRPr="00191DF7" w:rsidRDefault="009C19FF" w:rsidP="009C19FF">
      <w:pPr>
        <w:spacing w:after="28" w:line="256" w:lineRule="auto"/>
        <w:jc w:val="center"/>
        <w:rPr>
          <w:rFonts w:cstheme="minorHAnsi"/>
          <w:b/>
          <w:bCs/>
        </w:rPr>
      </w:pPr>
      <w:r w:rsidRPr="00191DF7">
        <w:rPr>
          <w:rFonts w:cstheme="minorHAnsi"/>
          <w:b/>
          <w:bCs/>
        </w:rPr>
        <w:t>KLAUZULA INFORMACYJNA O PRZETWARZANIU DANYCH OSOBOWYCH OSÓB BIORĄCYCH UDZIAŁ W KONSULTACJACH</w:t>
      </w:r>
    </w:p>
    <w:p w14:paraId="46659885" w14:textId="77777777" w:rsidR="009C19FF" w:rsidRPr="00191DF7" w:rsidRDefault="009C19FF" w:rsidP="009C19FF">
      <w:pPr>
        <w:jc w:val="center"/>
        <w:rPr>
          <w:rFonts w:cstheme="minorHAnsi"/>
        </w:rPr>
      </w:pPr>
    </w:p>
    <w:p w14:paraId="4298EF5F" w14:textId="3F30FAC4" w:rsidR="009C19FF" w:rsidRPr="00191DF7" w:rsidRDefault="009C19FF" w:rsidP="009C19FF">
      <w:pPr>
        <w:ind w:left="-15"/>
        <w:jc w:val="both"/>
        <w:rPr>
          <w:rFonts w:eastAsia="Cambria" w:cstheme="minorHAnsi"/>
          <w:color w:val="000000"/>
        </w:rPr>
      </w:pPr>
      <w:r w:rsidRPr="00191DF7">
        <w:rPr>
          <w:rFonts w:eastAsia="Cambria" w:cstheme="minorHAnsi"/>
          <w:color w:val="000000"/>
        </w:rPr>
        <w:t>Zgodnie z Rozporządzeniem Parlamentu Europejskiego i Rady (UE) 2016/679  z dnia</w:t>
      </w:r>
      <w:r>
        <w:rPr>
          <w:rFonts w:eastAsia="Cambria" w:cstheme="minorHAnsi"/>
          <w:color w:val="000000"/>
        </w:rPr>
        <w:t xml:space="preserve"> </w:t>
      </w:r>
      <w:r w:rsidRPr="00191DF7">
        <w:rPr>
          <w:rFonts w:eastAsia="Cambria" w:cstheme="minorHAnsi"/>
          <w:color w:val="000000"/>
        </w:rPr>
        <w:t xml:space="preserve">27 kwietnia </w:t>
      </w:r>
      <w:r>
        <w:rPr>
          <w:rFonts w:eastAsia="Cambria" w:cstheme="minorHAnsi"/>
          <w:color w:val="000000"/>
        </w:rPr>
        <w:br/>
      </w:r>
      <w:r w:rsidRPr="00191DF7">
        <w:rPr>
          <w:rFonts w:eastAsia="Cambria" w:cstheme="minorHAnsi"/>
          <w:color w:val="000000"/>
        </w:rPr>
        <w:t xml:space="preserve">2016 r. w sprawie ochrony osób fizycznych w związku przetwarzaniem danych osobowych </w:t>
      </w:r>
      <w:r>
        <w:rPr>
          <w:rFonts w:eastAsia="Cambria" w:cstheme="minorHAnsi"/>
          <w:color w:val="000000"/>
        </w:rPr>
        <w:br/>
      </w:r>
      <w:r w:rsidRPr="00191DF7">
        <w:rPr>
          <w:rFonts w:eastAsia="Cambria" w:cstheme="minorHAnsi"/>
          <w:color w:val="000000"/>
        </w:rPr>
        <w:t xml:space="preserve">i w sprawie swobodnego przepływu takich danych oraz uchylenia dyrektywy 95/46/WE (dalej: RODO),  informujemy o zasadach przetwarzania danych osobowych w związku z prowadzona rekrutacją: </w:t>
      </w:r>
    </w:p>
    <w:p w14:paraId="0023ED2D" w14:textId="77777777" w:rsidR="009C19FF" w:rsidRPr="00191DF7" w:rsidRDefault="009C19FF" w:rsidP="009C19FF">
      <w:pPr>
        <w:pStyle w:val="Akapitzlist"/>
        <w:numPr>
          <w:ilvl w:val="0"/>
          <w:numId w:val="4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Administratorem Pana/Pani  danych osobowych jest Wójt Gminy Pietrowice Wielkie, można </w:t>
      </w:r>
      <w:r>
        <w:rPr>
          <w:rFonts w:cstheme="minorHAnsi"/>
        </w:rPr>
        <w:br/>
      </w:r>
      <w:r w:rsidRPr="00191DF7">
        <w:rPr>
          <w:rFonts w:cstheme="minorHAnsi"/>
        </w:rPr>
        <w:t xml:space="preserve">się z nim kontaktować w następujący sposób: listownie na adres siedziby: Urząd Gminy Pietrowice Wielkie ul. Szkolna 5, 47-480 Pietrowice Wielkie, e-mailowo: </w:t>
      </w:r>
      <w:hyperlink r:id="rId7" w:history="1">
        <w:r w:rsidRPr="00191DF7">
          <w:rPr>
            <w:rStyle w:val="Hipercze"/>
            <w:rFonts w:cstheme="minorHAnsi"/>
          </w:rPr>
          <w:t>poczta@pietrowicewielkie.pl</w:t>
        </w:r>
      </w:hyperlink>
      <w:r w:rsidRPr="00191DF7">
        <w:rPr>
          <w:rFonts w:cstheme="minorHAnsi"/>
        </w:rPr>
        <w:t xml:space="preserve">,   telefonicznie pod nr : 32 4198075. </w:t>
      </w:r>
    </w:p>
    <w:p w14:paraId="7D4E8CC5" w14:textId="77777777" w:rsidR="009C19FF" w:rsidRPr="00191DF7" w:rsidRDefault="009C19FF" w:rsidP="009C19FF">
      <w:pPr>
        <w:pStyle w:val="Akapitzlist"/>
        <w:numPr>
          <w:ilvl w:val="0"/>
          <w:numId w:val="4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Do kontaktów w sprawie ochrony Pana/Pani danych osobowych został powołany inspektor ochrony danych, z którym można się kontaktować e-mailowo: </w:t>
      </w:r>
      <w:hyperlink r:id="rId8" w:history="1">
        <w:r w:rsidRPr="00191DF7">
          <w:rPr>
            <w:rStyle w:val="Hipercze"/>
            <w:rFonts w:cstheme="minorHAnsi"/>
          </w:rPr>
          <w:t>iod@pietrowicewielkie.pl</w:t>
        </w:r>
      </w:hyperlink>
      <w:r w:rsidRPr="00191DF7">
        <w:rPr>
          <w:rFonts w:cstheme="minorHAnsi"/>
        </w:rPr>
        <w:t xml:space="preserve">   </w:t>
      </w:r>
      <w:r>
        <w:rPr>
          <w:rFonts w:cstheme="minorHAnsi"/>
        </w:rPr>
        <w:br/>
      </w:r>
      <w:r w:rsidRPr="00191DF7">
        <w:rPr>
          <w:rFonts w:cstheme="minorHAnsi"/>
        </w:rPr>
        <w:t xml:space="preserve">lub telefonicznie pod nr  32 4198071. </w:t>
      </w:r>
    </w:p>
    <w:p w14:paraId="497B4EF7" w14:textId="77777777" w:rsidR="009C19FF" w:rsidRPr="00191DF7" w:rsidRDefault="009C19FF" w:rsidP="009C19FF">
      <w:pPr>
        <w:numPr>
          <w:ilvl w:val="0"/>
          <w:numId w:val="4"/>
        </w:numPr>
        <w:spacing w:before="100" w:beforeAutospacing="1" w:after="0" w:afterAutospacing="1"/>
        <w:jc w:val="both"/>
        <w:rPr>
          <w:rFonts w:eastAsia="Times New Roman" w:cstheme="minorHAnsi"/>
        </w:rPr>
      </w:pPr>
      <w:r w:rsidRPr="00191DF7">
        <w:rPr>
          <w:rFonts w:eastAsia="Times New Roman" w:cstheme="minorHAnsi"/>
          <w:iCs/>
        </w:rPr>
        <w:t xml:space="preserve">Pana/Pani dane osobowe będą przetwarzane w celu realizacji konsultacji  społecznych mających na celu zebranie od mieszkańców gminy uwag, opinii oraz propozycji dotyczących wyznaczenia obszaru zdegradowanego i obszaru rewitalizacji gminy. </w:t>
      </w:r>
    </w:p>
    <w:p w14:paraId="1A912316" w14:textId="54F2EE7D" w:rsidR="009C19FF" w:rsidRPr="00191DF7" w:rsidRDefault="009C19FF" w:rsidP="009C19FF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91DF7">
        <w:rPr>
          <w:rFonts w:cstheme="minorHAnsi"/>
        </w:rPr>
        <w:lastRenderedPageBreak/>
        <w:t>Pana/Pani dane osobowe przetwarzane będą do czasu istnienia podstawy do ich przetwarzania,</w:t>
      </w:r>
      <w:r>
        <w:rPr>
          <w:rFonts w:cstheme="minorHAnsi"/>
        </w:rPr>
        <w:t xml:space="preserve"> </w:t>
      </w:r>
      <w:r w:rsidRPr="00191DF7">
        <w:rPr>
          <w:rFonts w:cstheme="minorHAnsi"/>
        </w:rPr>
        <w:t>w tym również przez okres przewidziany w przepisach dotyczących przechowywania i archiwizacji dokumentacji zgodnie z rozporządzeniem Prezesa Rady Ministrów z dnia 18 stycznia 2011</w:t>
      </w:r>
      <w:r>
        <w:rPr>
          <w:rFonts w:cstheme="minorHAnsi"/>
        </w:rPr>
        <w:t xml:space="preserve"> </w:t>
      </w:r>
      <w:r w:rsidRPr="00191DF7">
        <w:rPr>
          <w:rFonts w:cstheme="minorHAnsi"/>
        </w:rPr>
        <w:t>r.</w:t>
      </w:r>
      <w:r>
        <w:rPr>
          <w:rFonts w:cstheme="minorHAnsi"/>
        </w:rPr>
        <w:t xml:space="preserve"> </w:t>
      </w:r>
      <w:r w:rsidRPr="00191DF7">
        <w:rPr>
          <w:rFonts w:cstheme="minorHAnsi"/>
        </w:rPr>
        <w:t>w sprawie instrukcji kancelaryjnej, jednolitych rzeczowych wykazów akt oraz instrukcji  w sprawie organizacji i zakresu działania archiwów zakładowych oraz rozporządzeniem Ministra Kultury i Dziedzictwa  Narodowego z dnia 20 października 2015r. w sprawie klasyfikowania</w:t>
      </w:r>
      <w:r>
        <w:rPr>
          <w:rFonts w:cstheme="minorHAnsi"/>
        </w:rPr>
        <w:t xml:space="preserve"> </w:t>
      </w:r>
      <w:r w:rsidRPr="00191DF7">
        <w:rPr>
          <w:rFonts w:cstheme="minorHAnsi"/>
        </w:rPr>
        <w:t>o kwalifikowania dokumentacji,  przekazywania materiałów archiwalnych do archiwów państwowych i brakowania dokumentacji</w:t>
      </w:r>
      <w:r>
        <w:rPr>
          <w:rFonts w:cstheme="minorHAnsi"/>
        </w:rPr>
        <w:t xml:space="preserve"> </w:t>
      </w:r>
      <w:r w:rsidRPr="00191DF7">
        <w:rPr>
          <w:rFonts w:cstheme="minorHAnsi"/>
        </w:rPr>
        <w:t>niearchiwalnej.</w:t>
      </w:r>
    </w:p>
    <w:p w14:paraId="4CFBD62A" w14:textId="06B421F5" w:rsidR="009C19FF" w:rsidRPr="00191DF7" w:rsidRDefault="009C19FF" w:rsidP="009C19FF">
      <w:pPr>
        <w:numPr>
          <w:ilvl w:val="0"/>
          <w:numId w:val="4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Pana/Pani dane osobowe administrator może ujawniać podmiotom zewnętrznym </w:t>
      </w:r>
      <w:r>
        <w:rPr>
          <w:rFonts w:cstheme="minorHAnsi"/>
        </w:rPr>
        <w:br/>
      </w:r>
      <w:r w:rsidRPr="00191DF7">
        <w:rPr>
          <w:rFonts w:cstheme="minorHAnsi"/>
        </w:rPr>
        <w:t xml:space="preserve">w przypadkach ściśle określonych przepisami prawa. Pana/Pani dane osobowe nie będą przekazywane do państw trzecich. </w:t>
      </w:r>
    </w:p>
    <w:p w14:paraId="7453D48F" w14:textId="2F96F6FF" w:rsidR="009C19FF" w:rsidRPr="00191DF7" w:rsidRDefault="009C19FF" w:rsidP="009C19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Posiada Pan/Pani  prawo do dostępu do treści swoich  danych, do ich sprostowania, usunięcia, ograniczenia przetwarzania,  do przenoszenia danych, prawo do wniesienia sprzeciwu dotyczącego przetwarzania danych oraz prawo do złożenia oświadczenia </w:t>
      </w:r>
      <w:r>
        <w:rPr>
          <w:rFonts w:cstheme="minorHAnsi"/>
        </w:rPr>
        <w:br/>
      </w:r>
      <w:r w:rsidRPr="00191DF7">
        <w:rPr>
          <w:rFonts w:cstheme="minorHAnsi"/>
        </w:rPr>
        <w:t>o cofnięciu każdej wyrażonej zgody w każdym czasie. Cofnięcie zgody nie ma wpływu na zgodność z prawem przetwarzania, którego dokonano na podstawie zgody przed jej cofnięciem.</w:t>
      </w:r>
    </w:p>
    <w:p w14:paraId="4F0E60D8" w14:textId="6A3726C0" w:rsidR="009C19FF" w:rsidRPr="00191DF7" w:rsidRDefault="009C19FF" w:rsidP="009C19FF">
      <w:pPr>
        <w:pStyle w:val="Akapitzlist"/>
        <w:numPr>
          <w:ilvl w:val="0"/>
          <w:numId w:val="4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>Wobec przysługującego Panu/Pani prawa do usunięcia danych ich przenoszenia oraz wniesienia sprzeciwu mają zastosowanie ograniczenia wynikające z art.17 ust.3, art.20,</w:t>
      </w:r>
      <w:r>
        <w:rPr>
          <w:rFonts w:cstheme="minorHAnsi"/>
        </w:rPr>
        <w:t xml:space="preserve"> </w:t>
      </w:r>
      <w:r w:rsidRPr="00191DF7">
        <w:rPr>
          <w:rFonts w:cstheme="minorHAnsi"/>
        </w:rPr>
        <w:t>art.21 rozporządzenia UE.</w:t>
      </w:r>
    </w:p>
    <w:p w14:paraId="75A611B6" w14:textId="77777777" w:rsidR="009C19FF" w:rsidRDefault="009C19FF" w:rsidP="009C19FF">
      <w:pPr>
        <w:pStyle w:val="Akapitzlist"/>
        <w:numPr>
          <w:ilvl w:val="0"/>
          <w:numId w:val="4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Ma Pan/Pani prawo wniesienia skargi do organu nadzorczego - Prezesa Urzędu  Ochrony Danych Osobowych,  uznając, iż przetwarzanie swoich danych osobowych narusza przepisy obowiązującego prawa. </w:t>
      </w:r>
    </w:p>
    <w:p w14:paraId="7F026BC0" w14:textId="77777777" w:rsidR="009C19FF" w:rsidRPr="00191DF7" w:rsidRDefault="009C19FF" w:rsidP="009C19FF">
      <w:pPr>
        <w:pStyle w:val="Akapitzlist"/>
        <w:numPr>
          <w:ilvl w:val="0"/>
          <w:numId w:val="4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Podanie przez Pana/Panią danych osobowych jest konieczne, ponieważ konsekwencją niepodania wymaganych danych będzie odmowa dopuszczenia do udziału w konsultacjach. </w:t>
      </w:r>
    </w:p>
    <w:p w14:paraId="1AEC8FAD" w14:textId="77777777" w:rsidR="009C19FF" w:rsidRPr="00191DF7" w:rsidRDefault="009C19FF" w:rsidP="009C19FF">
      <w:pPr>
        <w:numPr>
          <w:ilvl w:val="0"/>
          <w:numId w:val="4"/>
        </w:numPr>
        <w:spacing w:after="4" w:line="264" w:lineRule="auto"/>
        <w:jc w:val="both"/>
        <w:rPr>
          <w:rFonts w:cstheme="minorHAnsi"/>
        </w:rPr>
      </w:pPr>
      <w:r w:rsidRPr="00191DF7">
        <w:rPr>
          <w:rFonts w:cstheme="minorHAnsi"/>
        </w:rPr>
        <w:t xml:space="preserve">Pana/i/ dane nie będą poddawane zautomatyzowanemu przetwarzaniu, w tym również profilowaniu. </w:t>
      </w:r>
    </w:p>
    <w:p w14:paraId="5A74B458" w14:textId="77777777" w:rsidR="009C19FF" w:rsidRDefault="009C19FF"/>
    <w:p w14:paraId="56751AE6" w14:textId="77777777" w:rsidR="009C19FF" w:rsidRDefault="009C19FF"/>
    <w:p w14:paraId="3DA3C94B" w14:textId="77777777" w:rsidR="009C19FF" w:rsidRDefault="009C19FF"/>
    <w:p w14:paraId="4FC4F7D1" w14:textId="77777777" w:rsidR="009C19FF" w:rsidRDefault="009C19FF"/>
    <w:p w14:paraId="5E8A3403" w14:textId="77777777" w:rsidR="009C19FF" w:rsidRDefault="009C19FF"/>
    <w:p w14:paraId="77002E75" w14:textId="77777777" w:rsidR="009C19FF" w:rsidRDefault="009C19FF"/>
    <w:p w14:paraId="60167CAC" w14:textId="77777777" w:rsidR="009C19FF" w:rsidRDefault="009C19FF"/>
    <w:p w14:paraId="45C3BEEA" w14:textId="77777777" w:rsidR="009C19FF" w:rsidRDefault="009C19FF"/>
    <w:p w14:paraId="261651AF" w14:textId="77777777" w:rsidR="009C19FF" w:rsidRDefault="009C19FF"/>
    <w:p w14:paraId="13AFF3FD" w14:textId="77777777" w:rsidR="009C19FF" w:rsidRDefault="009C19FF"/>
    <w:p w14:paraId="29B54BFD" w14:textId="77777777" w:rsidR="009C19FF" w:rsidRDefault="009C19FF"/>
    <w:p w14:paraId="225B904C" w14:textId="77777777" w:rsidR="009C19FF" w:rsidRDefault="009C19FF"/>
    <w:p w14:paraId="2D80468B" w14:textId="77777777" w:rsidR="009C19FF" w:rsidRDefault="009C19FF"/>
    <w:sectPr w:rsidR="009C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DFE1" w14:textId="77777777" w:rsidR="00457BD6" w:rsidRDefault="00457BD6" w:rsidP="00FF1638">
      <w:pPr>
        <w:spacing w:after="0" w:line="240" w:lineRule="auto"/>
      </w:pPr>
      <w:r>
        <w:separator/>
      </w:r>
    </w:p>
  </w:endnote>
  <w:endnote w:type="continuationSeparator" w:id="0">
    <w:p w14:paraId="32DE75BB" w14:textId="77777777" w:rsidR="00457BD6" w:rsidRDefault="00457BD6" w:rsidP="00FF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9F87" w14:textId="77777777" w:rsidR="00457BD6" w:rsidRDefault="00457BD6" w:rsidP="00FF1638">
      <w:pPr>
        <w:spacing w:after="0" w:line="240" w:lineRule="auto"/>
      </w:pPr>
      <w:r>
        <w:separator/>
      </w:r>
    </w:p>
  </w:footnote>
  <w:footnote w:type="continuationSeparator" w:id="0">
    <w:p w14:paraId="32596105" w14:textId="77777777" w:rsidR="00457BD6" w:rsidRDefault="00457BD6" w:rsidP="00FF1638">
      <w:pPr>
        <w:spacing w:after="0" w:line="240" w:lineRule="auto"/>
      </w:pPr>
      <w:r>
        <w:continuationSeparator/>
      </w:r>
    </w:p>
  </w:footnote>
  <w:footnote w:id="1">
    <w:p w14:paraId="127F3499" w14:textId="77777777" w:rsidR="00FF1638" w:rsidRPr="00A05C94" w:rsidRDefault="00FF1638" w:rsidP="00FF1638">
      <w:pPr>
        <w:pStyle w:val="Tekstprzypisudolnego"/>
        <w:jc w:val="both"/>
        <w:rPr>
          <w:i/>
          <w:sz w:val="16"/>
          <w:szCs w:val="16"/>
        </w:rPr>
      </w:pPr>
      <w:r w:rsidRPr="00A05C94">
        <w:rPr>
          <w:rStyle w:val="Odwoanieprzypisudolnego"/>
          <w:sz w:val="16"/>
          <w:szCs w:val="16"/>
        </w:rPr>
        <w:footnoteRef/>
      </w:r>
      <w:r w:rsidRPr="00A05C94">
        <w:rPr>
          <w:sz w:val="16"/>
          <w:szCs w:val="16"/>
        </w:rPr>
        <w:t xml:space="preserve"> W przypadku projektów kierowanych do dofinansowania FE</w:t>
      </w:r>
      <w:r>
        <w:rPr>
          <w:sz w:val="16"/>
          <w:szCs w:val="16"/>
        </w:rPr>
        <w:t>SL</w:t>
      </w:r>
      <w:r w:rsidRPr="00A05C94">
        <w:rPr>
          <w:sz w:val="16"/>
          <w:szCs w:val="16"/>
        </w:rPr>
        <w:t xml:space="preserve"> 2021-2027 obowiązują założenia systemu wskaźników ujęte w </w:t>
      </w:r>
      <w:r w:rsidRPr="00A05C94">
        <w:rPr>
          <w:i/>
          <w:sz w:val="16"/>
          <w:szCs w:val="16"/>
        </w:rPr>
        <w:t xml:space="preserve">Wytycznych w zakresie monitorowania postępu rzeczowego realizacji programów na lata 2021-2027 </w:t>
      </w:r>
      <w:hyperlink r:id="rId1" w:history="1">
        <w:r w:rsidRPr="00A05C94">
          <w:rPr>
            <w:rStyle w:val="Hipercze"/>
            <w:i/>
            <w:sz w:val="16"/>
            <w:szCs w:val="16"/>
          </w:rPr>
          <w:t>https://www.funduszeeuropejskie.gov.pl/strony/o-funduszach/fundusze-na-lata-2021-2027/prawo-i-dokumenty/wytyczne/wytyczne-dotyczace-monitorowania-postepu-rzeczowego-realizacji-programow-na-lata-2021-2027/</w:t>
        </w:r>
      </w:hyperlink>
      <w:r w:rsidRPr="00A05C94">
        <w:rPr>
          <w:i/>
          <w:sz w:val="16"/>
          <w:szCs w:val="16"/>
        </w:rPr>
        <w:t xml:space="preserve"> </w:t>
      </w:r>
      <w:r w:rsidRPr="00A05C94">
        <w:rPr>
          <w:sz w:val="16"/>
          <w:szCs w:val="16"/>
        </w:rPr>
        <w:t xml:space="preserve">oraz w dokumencie </w:t>
      </w:r>
      <w:r w:rsidRPr="00A05C94">
        <w:rPr>
          <w:i/>
          <w:sz w:val="16"/>
          <w:szCs w:val="16"/>
        </w:rPr>
        <w:t xml:space="preserve">Lista Wskaźników Kluczowych 2021-2027 </w:t>
      </w:r>
      <w:hyperlink r:id="rId2" w:history="1">
        <w:r w:rsidRPr="00A05C94">
          <w:rPr>
            <w:rStyle w:val="Hipercze"/>
            <w:i/>
            <w:sz w:val="16"/>
            <w:szCs w:val="16"/>
          </w:rPr>
          <w:t>https://www.ewaluacja.gov.pl/media/111638/LWK_EFS_10_2022_v2.docx</w:t>
        </w:r>
      </w:hyperlink>
      <w:r w:rsidRPr="00A05C94">
        <w:rPr>
          <w:i/>
          <w:sz w:val="16"/>
          <w:szCs w:val="16"/>
        </w:rPr>
        <w:t xml:space="preserve"> </w:t>
      </w:r>
    </w:p>
    <w:p w14:paraId="35118DC0" w14:textId="77777777" w:rsidR="00FF1638" w:rsidRPr="000064CB" w:rsidRDefault="00FF1638" w:rsidP="00FF1638">
      <w:pPr>
        <w:pStyle w:val="Tekstprzypisudolnego"/>
        <w:jc w:val="both"/>
        <w:rPr>
          <w:sz w:val="18"/>
          <w:szCs w:val="18"/>
        </w:rPr>
      </w:pPr>
      <w:r w:rsidRPr="00A05C94">
        <w:rPr>
          <w:sz w:val="16"/>
          <w:szCs w:val="16"/>
        </w:rPr>
        <w:t>Doprecyzowanie wskaźników dla działań rewitalizacyjnych nastąpi w Szczegółowym Opisie Osi Priorytetowych dla FE</w:t>
      </w:r>
      <w:r>
        <w:rPr>
          <w:sz w:val="16"/>
          <w:szCs w:val="16"/>
        </w:rPr>
        <w:t>SL</w:t>
      </w:r>
      <w:r w:rsidRPr="00A05C94">
        <w:rPr>
          <w:sz w:val="16"/>
          <w:szCs w:val="16"/>
        </w:rPr>
        <w:t xml:space="preserve"> 2021-2027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57B"/>
    <w:multiLevelType w:val="hybridMultilevel"/>
    <w:tmpl w:val="821AB8A8"/>
    <w:lvl w:ilvl="0" w:tplc="0BF6502C">
      <w:start w:val="1"/>
      <w:numFmt w:val="decimal"/>
      <w:lvlText w:val="C1.K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849"/>
    <w:multiLevelType w:val="hybridMultilevel"/>
    <w:tmpl w:val="A8FA047A"/>
    <w:lvl w:ilvl="0" w:tplc="FCFE5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986"/>
    <w:multiLevelType w:val="hybridMultilevel"/>
    <w:tmpl w:val="D6CA9A8E"/>
    <w:lvl w:ilvl="0" w:tplc="EDF687BC">
      <w:start w:val="1"/>
      <w:numFmt w:val="decimal"/>
      <w:lvlText w:val="C2.K%1."/>
      <w:lvlJc w:val="left"/>
      <w:pPr>
        <w:ind w:left="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02B6"/>
    <w:multiLevelType w:val="hybridMultilevel"/>
    <w:tmpl w:val="7A2EB3AE"/>
    <w:lvl w:ilvl="0" w:tplc="1DFEDD1E">
      <w:start w:val="1"/>
      <w:numFmt w:val="decimal"/>
      <w:lvlText w:val="C3.K%1."/>
      <w:lvlJc w:val="left"/>
      <w:pPr>
        <w:ind w:left="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5F1"/>
    <w:multiLevelType w:val="hybridMultilevel"/>
    <w:tmpl w:val="03CE2EB6"/>
    <w:lvl w:ilvl="0" w:tplc="B4C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F3287"/>
    <w:multiLevelType w:val="hybridMultilevel"/>
    <w:tmpl w:val="1A42C34A"/>
    <w:lvl w:ilvl="0" w:tplc="637610D8">
      <w:start w:val="1"/>
      <w:numFmt w:val="decimal"/>
      <w:lvlText w:val="%1."/>
      <w:lvlJc w:val="left"/>
      <w:pPr>
        <w:ind w:left="345" w:hanging="360"/>
      </w:pPr>
    </w:lvl>
    <w:lvl w:ilvl="1" w:tplc="28E66E10">
      <w:start w:val="1"/>
      <w:numFmt w:val="decimal"/>
      <w:lvlText w:val="%2)"/>
      <w:lvlJc w:val="left"/>
      <w:pPr>
        <w:ind w:left="1636" w:hanging="360"/>
      </w:pPr>
      <w:rPr>
        <w:rFonts w:ascii="Calibri" w:eastAsia="Calibri" w:hAnsi="Calibri" w:cs="Calibri"/>
      </w:r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958954">
    <w:abstractNumId w:val="0"/>
  </w:num>
  <w:num w:numId="2" w16cid:durableId="1738212135">
    <w:abstractNumId w:val="2"/>
  </w:num>
  <w:num w:numId="3" w16cid:durableId="489256791">
    <w:abstractNumId w:val="3"/>
  </w:num>
  <w:num w:numId="4" w16cid:durableId="1737583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0683393">
    <w:abstractNumId w:val="1"/>
  </w:num>
  <w:num w:numId="6" w16cid:durableId="58904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38"/>
    <w:rsid w:val="00457BD6"/>
    <w:rsid w:val="0056164F"/>
    <w:rsid w:val="005C4EBA"/>
    <w:rsid w:val="00691C1C"/>
    <w:rsid w:val="006E5BF8"/>
    <w:rsid w:val="00906A6A"/>
    <w:rsid w:val="009C19FF"/>
    <w:rsid w:val="00A62FAB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3D1E"/>
  <w15:chartTrackingRefBased/>
  <w15:docId w15:val="{7EDE20A6-9566-214D-BF8B-F89E97D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638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1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6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6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6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6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6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6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638"/>
    <w:rPr>
      <w:i/>
      <w:iCs/>
      <w:color w:val="404040" w:themeColor="text1" w:themeTint="BF"/>
    </w:r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"/>
    <w:basedOn w:val="Normalny"/>
    <w:link w:val="AkapitzlistZnak"/>
    <w:uiPriority w:val="34"/>
    <w:qFormat/>
    <w:rsid w:val="00FF16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6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6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63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F1638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16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F163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638"/>
    <w:rPr>
      <w:vertAlign w:val="superscript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FF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etrowicewiel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pietrowicewiel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waluacja.gov.pl/media/111638/LWK_EFS_10_2022_v2.docx" TargetMode="External"/><Relationship Id="rId1" Type="http://schemas.openxmlformats.org/officeDocument/2006/relationships/hyperlink" Target="https://www.funduszeeuropejskie.gov.pl/strony/o-funduszach/fundusze-na-lata-2021-2027/prawo-i-dokumenty/wytyczne/wytyczne-dotyczace-monitorowania-postepu-rzeczowego-realizacji-programow-na-lata-2021-202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Musiolik</dc:creator>
  <cp:keywords/>
  <dc:description/>
  <cp:lastModifiedBy>Sandra Musiolik</cp:lastModifiedBy>
  <cp:revision>2</cp:revision>
  <dcterms:created xsi:type="dcterms:W3CDTF">2025-07-08T22:37:00Z</dcterms:created>
  <dcterms:modified xsi:type="dcterms:W3CDTF">2025-07-14T14:07:00Z</dcterms:modified>
</cp:coreProperties>
</file>